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A655" w14:textId="107232BC" w:rsidR="00260A4E" w:rsidRDefault="00260A4E" w:rsidP="00260A4E">
      <w:pPr>
        <w:spacing w:line="228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Příloha č. </w:t>
      </w:r>
      <w:r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:</w:t>
      </w:r>
    </w:p>
    <w:p w14:paraId="6304D0DC" w14:textId="77777777" w:rsidR="00260A4E" w:rsidRDefault="00260A4E" w:rsidP="00260A4E">
      <w:pPr>
        <w:spacing w:line="228" w:lineRule="auto"/>
        <w:jc w:val="center"/>
        <w:rPr>
          <w:rFonts w:ascii="Arial" w:hAnsi="Arial" w:cs="Arial"/>
          <w:b/>
        </w:rPr>
      </w:pPr>
    </w:p>
    <w:p w14:paraId="4ACD7AC9" w14:textId="70A21FC0" w:rsidR="00260A4E" w:rsidRDefault="00260A4E" w:rsidP="00260A4E">
      <w:pPr>
        <w:spacing w:line="228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Návrhy nezařazené do o</w:t>
      </w:r>
      <w:r w:rsidRPr="00A608EE">
        <w:rPr>
          <w:rFonts w:ascii="Arial" w:hAnsi="Arial" w:cs="Arial"/>
          <w:b/>
        </w:rPr>
        <w:t>bsah</w:t>
      </w:r>
      <w:r>
        <w:rPr>
          <w:rFonts w:ascii="Arial" w:hAnsi="Arial" w:cs="Arial"/>
          <w:b/>
        </w:rPr>
        <w:t>u</w:t>
      </w:r>
      <w:r w:rsidRPr="00A608EE">
        <w:rPr>
          <w:rFonts w:ascii="Arial" w:hAnsi="Arial" w:cs="Arial"/>
          <w:b/>
        </w:rPr>
        <w:t xml:space="preserve"> změny č. </w:t>
      </w:r>
      <w:r>
        <w:rPr>
          <w:rFonts w:ascii="Arial" w:hAnsi="Arial" w:cs="Arial"/>
          <w:b/>
        </w:rPr>
        <w:t>1</w:t>
      </w:r>
      <w:r w:rsidRPr="00A608EE">
        <w:rPr>
          <w:rFonts w:ascii="Arial" w:hAnsi="Arial" w:cs="Arial"/>
          <w:b/>
        </w:rPr>
        <w:t xml:space="preserve"> územního plánu </w:t>
      </w:r>
      <w:r>
        <w:rPr>
          <w:rFonts w:ascii="Arial" w:hAnsi="Arial" w:cs="Arial"/>
          <w:b/>
        </w:rPr>
        <w:t>Mníšek pod Brdy</w:t>
      </w:r>
    </w:p>
    <w:p w14:paraId="47EC5C51" w14:textId="77777777" w:rsidR="00260A4E" w:rsidRPr="00CB64D7" w:rsidRDefault="00260A4E" w:rsidP="00260A4E">
      <w:pPr>
        <w:spacing w:before="0" w:line="228" w:lineRule="auto"/>
        <w:jc w:val="center"/>
        <w:rPr>
          <w:rFonts w:ascii="Arial" w:hAnsi="Arial" w:cs="Arial"/>
          <w:b/>
          <w:sz w:val="16"/>
          <w:szCs w:val="16"/>
        </w:rPr>
      </w:pPr>
    </w:p>
    <w:p w14:paraId="77318655" w14:textId="6950BB56" w:rsidR="00B85C10" w:rsidRPr="009B1BD0" w:rsidRDefault="004F35D6" w:rsidP="00E57F19">
      <w:pPr>
        <w:pStyle w:val="Odstavecseseznamem"/>
        <w:keepNext/>
        <w:numPr>
          <w:ilvl w:val="0"/>
          <w:numId w:val="5"/>
        </w:numPr>
        <w:spacing w:before="120" w:line="228" w:lineRule="auto"/>
        <w:ind w:left="426"/>
        <w:contextualSpacing w:val="0"/>
        <w:jc w:val="both"/>
        <w:rPr>
          <w:rFonts w:ascii="Arial" w:hAnsi="Arial" w:cs="Arial"/>
        </w:rPr>
      </w:pPr>
      <w:r w:rsidRPr="009B1BD0">
        <w:rPr>
          <w:rFonts w:ascii="Arial" w:hAnsi="Arial" w:cs="Arial"/>
          <w:b/>
          <w:bCs/>
        </w:rPr>
        <w:t xml:space="preserve">Prověření pozemků 2137/7 a 3137/9 v k. </w:t>
      </w:r>
      <w:proofErr w:type="spellStart"/>
      <w:r w:rsidRPr="009B1BD0">
        <w:rPr>
          <w:rFonts w:ascii="Arial" w:hAnsi="Arial" w:cs="Arial"/>
          <w:b/>
          <w:bCs/>
        </w:rPr>
        <w:t>ú.</w:t>
      </w:r>
      <w:proofErr w:type="spellEnd"/>
      <w:r w:rsidRPr="009B1BD0">
        <w:rPr>
          <w:rFonts w:ascii="Arial" w:hAnsi="Arial" w:cs="Arial"/>
          <w:b/>
          <w:bCs/>
        </w:rPr>
        <w:t xml:space="preserve"> Mníšek pod Brdy </w:t>
      </w:r>
      <w:r>
        <w:rPr>
          <w:rFonts w:ascii="Arial" w:hAnsi="Arial" w:cs="Arial"/>
          <w:bCs/>
        </w:rPr>
        <w:t>pro záměr zastavitelné plochy bydlení – ze stávajícího využití NZ – plochy zemědělské na plochu BI – bydlení v rodinných domech – městské a příměstské. Záměr sic</w:t>
      </w:r>
      <w:r w:rsidR="00EC18FF">
        <w:rPr>
          <w:rFonts w:ascii="Arial" w:hAnsi="Arial" w:cs="Arial"/>
          <w:bCs/>
        </w:rPr>
        <w:t>e navazuje na zastavěné území a </w:t>
      </w:r>
      <w:r>
        <w:rPr>
          <w:rFonts w:ascii="Arial" w:hAnsi="Arial" w:cs="Arial"/>
          <w:bCs/>
        </w:rPr>
        <w:t>zastavitelnou plochu Z87, je ale v okrajové části tvořené shlukem několika staveb – většinou rekreačního využití, kde další rozšiřování zástavby není koncepčně odůvodnitelné.</w:t>
      </w:r>
      <w:r w:rsidR="00A64D49">
        <w:rPr>
          <w:rFonts w:ascii="Arial" w:hAnsi="Arial" w:cs="Arial"/>
          <w:bCs/>
        </w:rPr>
        <w:t xml:space="preserve"> </w:t>
      </w:r>
      <w:r w:rsidR="00E57F19" w:rsidRPr="00E57F19">
        <w:rPr>
          <w:rFonts w:ascii="Arial" w:hAnsi="Arial" w:cs="Arial"/>
          <w:bCs/>
        </w:rPr>
        <w:t>D</w:t>
      </w:r>
      <w:r w:rsidR="00E57F19">
        <w:rPr>
          <w:rFonts w:ascii="Arial" w:hAnsi="Arial" w:cs="Arial"/>
          <w:bCs/>
        </w:rPr>
        <w:t>ále d</w:t>
      </w:r>
      <w:r w:rsidR="00E57F19" w:rsidRPr="00E57F19">
        <w:rPr>
          <w:rFonts w:ascii="Arial" w:hAnsi="Arial" w:cs="Arial"/>
          <w:bCs/>
        </w:rPr>
        <w:t xml:space="preserve">le stavebního zákona § 55, odst. (4): "Další zastavitelné plochy lze změnou územního plánu vymezit pouze na základě prokázání potřeby vymezení nových zastavitelných ploch." Vzhledem ke krátké době od vydání ÚP není většina dříve navržených ploch pro </w:t>
      </w:r>
      <w:r w:rsidR="00E57F19">
        <w:rPr>
          <w:rFonts w:ascii="Arial" w:hAnsi="Arial" w:cs="Arial"/>
          <w:bCs/>
        </w:rPr>
        <w:t>bydlení</w:t>
      </w:r>
      <w:r w:rsidR="00E57F19" w:rsidRPr="00E57F19">
        <w:rPr>
          <w:rFonts w:ascii="Arial" w:hAnsi="Arial" w:cs="Arial"/>
          <w:bCs/>
        </w:rPr>
        <w:t xml:space="preserve"> dosud využita a ploch </w:t>
      </w:r>
      <w:r w:rsidR="00E57F19">
        <w:rPr>
          <w:rFonts w:ascii="Arial" w:hAnsi="Arial" w:cs="Arial"/>
          <w:bCs/>
        </w:rPr>
        <w:t>pro rozvoj obytné zástavby</w:t>
      </w:r>
      <w:r w:rsidR="00E57F19" w:rsidRPr="00E57F19">
        <w:rPr>
          <w:rFonts w:ascii="Arial" w:hAnsi="Arial" w:cs="Arial"/>
          <w:bCs/>
        </w:rPr>
        <w:t xml:space="preserve"> je tak vymezen dostatek. </w:t>
      </w:r>
      <w:r w:rsidR="00A64D49">
        <w:rPr>
          <w:rFonts w:ascii="Arial" w:hAnsi="Arial" w:cs="Arial"/>
          <w:bCs/>
        </w:rPr>
        <w:t>Záměr proto není doporučen k zapracování do změny územního plánu.</w:t>
      </w:r>
    </w:p>
    <w:p w14:paraId="41FB5ECB" w14:textId="77777777" w:rsidR="009B1BD0" w:rsidRDefault="009B1BD0" w:rsidP="009B1BD0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089DEB80" wp14:editId="2D604972">
            <wp:extent cx="5934075" cy="2276475"/>
            <wp:effectExtent l="19050" t="0" r="9525" b="0"/>
            <wp:docPr id="16" name="obrázek 16" descr="Mnisek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nisek0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9CDAB" w14:textId="77777777" w:rsidR="00A6633E" w:rsidRDefault="00A6633E" w:rsidP="009B1BD0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</w:rPr>
      </w:pPr>
    </w:p>
    <w:p w14:paraId="1B70C3A6" w14:textId="6195F2DB" w:rsidR="009B1BD0" w:rsidRPr="00584D7F" w:rsidRDefault="009B1BD0" w:rsidP="00B85C10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9B1BD0">
        <w:rPr>
          <w:rFonts w:ascii="Arial" w:hAnsi="Arial" w:cs="Arial"/>
          <w:b/>
          <w:bCs/>
        </w:rPr>
        <w:t>Lubomír Hruška (u nájezdu na dálnici naproti kovohutím</w:t>
      </w:r>
      <w:r w:rsidR="004051AD">
        <w:rPr>
          <w:rFonts w:ascii="Arial" w:hAnsi="Arial" w:cs="Arial"/>
          <w:b/>
          <w:bCs/>
        </w:rPr>
        <w:t>, označeno fialově</w:t>
      </w:r>
      <w:r w:rsidRPr="009B1BD0">
        <w:rPr>
          <w:rFonts w:ascii="Arial" w:hAnsi="Arial" w:cs="Arial"/>
          <w:b/>
          <w:bCs/>
        </w:rPr>
        <w:t xml:space="preserve">) </w:t>
      </w:r>
    </w:p>
    <w:p w14:paraId="4B107AFE" w14:textId="5809B0EC" w:rsidR="00CD7D98" w:rsidRDefault="00CD7D98" w:rsidP="00CD7D98">
      <w:pPr>
        <w:spacing w:line="228" w:lineRule="auto"/>
        <w:jc w:val="center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524B3658" wp14:editId="0EE9416E">
            <wp:extent cx="4295164" cy="2978350"/>
            <wp:effectExtent l="0" t="0" r="0" b="0"/>
            <wp:docPr id="26" name="obrázek 26" descr="C:\Users\HP\AppData\Local\Microsoft\Windows\INetCache\Content.Word\Mnisek-po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Mnisek-poz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61" cy="30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53C7B" w14:textId="2E9C844A" w:rsidR="004051AD" w:rsidRPr="00CD7D98" w:rsidRDefault="004051AD" w:rsidP="004051AD">
      <w:pPr>
        <w:spacing w:line="228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Je možné prověřit využití pomocí mobilních staveb a dočasně zpevněných ploch do doby realizace cílových dopravních </w:t>
      </w:r>
      <w:proofErr w:type="gramStart"/>
      <w:r>
        <w:rPr>
          <w:rFonts w:ascii="Arial" w:hAnsi="Arial" w:cs="Arial"/>
        </w:rPr>
        <w:t>staveb - v</w:t>
      </w:r>
      <w:proofErr w:type="gramEnd"/>
      <w:r>
        <w:rPr>
          <w:rFonts w:ascii="Arial" w:hAnsi="Arial" w:cs="Arial"/>
        </w:rPr>
        <w:t> návaznosti na plochy ohraničené zeleně – viz bod 10) Obsahu změny č. 1 ÚP.</w:t>
      </w:r>
    </w:p>
    <w:p w14:paraId="32EE63AB" w14:textId="7E7263D8" w:rsidR="00584D7F" w:rsidRDefault="00584D7F" w:rsidP="00584D7F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  <w:b/>
          <w:bCs/>
        </w:rPr>
      </w:pPr>
    </w:p>
    <w:p w14:paraId="462B5602" w14:textId="2B0D8768" w:rsidR="00EC18FF" w:rsidRDefault="00EC18FF" w:rsidP="00584D7F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  <w:b/>
          <w:bCs/>
        </w:rPr>
      </w:pPr>
    </w:p>
    <w:p w14:paraId="41106411" w14:textId="2CDBBE5D" w:rsidR="00CD7D98" w:rsidRDefault="00CD7D98" w:rsidP="00584D7F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  <w:b/>
          <w:bCs/>
        </w:rPr>
      </w:pPr>
    </w:p>
    <w:p w14:paraId="0522B5A1" w14:textId="1F9E8BAD" w:rsidR="00CD7D98" w:rsidRDefault="00CD7D98" w:rsidP="00584D7F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  <w:b/>
          <w:bCs/>
        </w:rPr>
      </w:pPr>
    </w:p>
    <w:p w14:paraId="20612971" w14:textId="4A7F935D" w:rsidR="00CD7D98" w:rsidRDefault="00CD7D98" w:rsidP="00584D7F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  <w:b/>
          <w:bCs/>
        </w:rPr>
      </w:pPr>
    </w:p>
    <w:p w14:paraId="1B454349" w14:textId="77777777" w:rsidR="00CD7D98" w:rsidRDefault="00CD7D98" w:rsidP="00584D7F">
      <w:pPr>
        <w:pStyle w:val="Odstavecseseznamem"/>
        <w:spacing w:before="120" w:line="228" w:lineRule="auto"/>
        <w:ind w:left="426"/>
        <w:contextualSpacing w:val="0"/>
        <w:jc w:val="both"/>
        <w:rPr>
          <w:rFonts w:ascii="Arial" w:hAnsi="Arial" w:cs="Arial"/>
          <w:b/>
          <w:bCs/>
        </w:rPr>
      </w:pPr>
    </w:p>
    <w:p w14:paraId="500E859B" w14:textId="19E3D9F0" w:rsidR="00C57855" w:rsidRPr="009B1BD0" w:rsidRDefault="009B1BD0" w:rsidP="004E21A7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0274E1">
        <w:rPr>
          <w:rFonts w:ascii="Arial" w:hAnsi="Arial" w:cs="Arial"/>
          <w:b/>
        </w:rPr>
        <w:t xml:space="preserve">Požadavek na zařazení pozemků </w:t>
      </w:r>
      <w:proofErr w:type="spellStart"/>
      <w:r w:rsidRPr="000274E1">
        <w:rPr>
          <w:rFonts w:ascii="Arial" w:hAnsi="Arial" w:cs="Arial"/>
          <w:b/>
        </w:rPr>
        <w:t>parc</w:t>
      </w:r>
      <w:proofErr w:type="spellEnd"/>
      <w:r w:rsidRPr="000274E1">
        <w:rPr>
          <w:rFonts w:ascii="Arial" w:hAnsi="Arial" w:cs="Arial"/>
          <w:b/>
        </w:rPr>
        <w:t xml:space="preserve">. č. 3106/1, 3106/3 a 3106/4 v k. </w:t>
      </w:r>
      <w:proofErr w:type="spellStart"/>
      <w:r w:rsidRPr="000274E1">
        <w:rPr>
          <w:rFonts w:ascii="Arial" w:hAnsi="Arial" w:cs="Arial"/>
          <w:b/>
        </w:rPr>
        <w:t>ú.</w:t>
      </w:r>
      <w:proofErr w:type="spellEnd"/>
      <w:r w:rsidRPr="000274E1">
        <w:rPr>
          <w:rFonts w:ascii="Arial" w:hAnsi="Arial" w:cs="Arial"/>
          <w:b/>
        </w:rPr>
        <w:t xml:space="preserve"> Mníšek pod Brdy do ploch pro bydlení (Lukáš Kobrle)</w:t>
      </w:r>
      <w:r>
        <w:rPr>
          <w:rFonts w:ascii="Arial" w:hAnsi="Arial" w:cs="Arial"/>
        </w:rPr>
        <w:t xml:space="preserve"> </w:t>
      </w:r>
      <w:r w:rsidR="001276F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nevhodné, protože </w:t>
      </w:r>
      <w:r w:rsidR="00034B50" w:rsidRPr="009B1BD0">
        <w:rPr>
          <w:rFonts w:ascii="Arial" w:hAnsi="Arial" w:cs="Arial"/>
        </w:rPr>
        <w:t>zasahuje do přírodní plochy</w:t>
      </w:r>
      <w:r>
        <w:rPr>
          <w:rFonts w:ascii="Arial" w:hAnsi="Arial" w:cs="Arial"/>
        </w:rPr>
        <w:t>, která je údolní nivou a slouží k odvodu a vsaku srážek. Plocha byla po celou dobu existence územního plánování v Mníšku pod Brdy vymezena jako plocha zeleně, ať už přírodní jako biokoridor, nebo zeleně soukromé.</w:t>
      </w:r>
      <w:r w:rsidR="00034B50" w:rsidRPr="009B1BD0">
        <w:rPr>
          <w:rFonts w:ascii="Arial" w:hAnsi="Arial" w:cs="Arial"/>
        </w:rPr>
        <w:t xml:space="preserve"> (uvedená poznámka o konzultaci se </w:t>
      </w:r>
      <w:r w:rsidR="004F35D6" w:rsidRPr="009B1BD0">
        <w:rPr>
          <w:rFonts w:ascii="Arial" w:hAnsi="Arial" w:cs="Arial"/>
        </w:rPr>
        <w:t xml:space="preserve">zpracovatelem M. Salabou </w:t>
      </w:r>
      <w:r w:rsidR="00034B50" w:rsidRPr="009B1BD0">
        <w:rPr>
          <w:rFonts w:ascii="Arial" w:hAnsi="Arial" w:cs="Arial"/>
        </w:rPr>
        <w:t>není zcela pravdivá</w:t>
      </w:r>
      <w:r w:rsidR="00272273" w:rsidRPr="009B1BD0">
        <w:rPr>
          <w:rFonts w:ascii="Arial" w:hAnsi="Arial" w:cs="Arial"/>
        </w:rPr>
        <w:t>:</w:t>
      </w:r>
      <w:r w:rsidR="00034B50" w:rsidRPr="009B1B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investorovi </w:t>
      </w:r>
      <w:r w:rsidR="00EE31F7" w:rsidRPr="009B1BD0">
        <w:rPr>
          <w:rFonts w:ascii="Arial" w:hAnsi="Arial" w:cs="Arial"/>
        </w:rPr>
        <w:t xml:space="preserve">byly </w:t>
      </w:r>
      <w:r w:rsidR="00034B50" w:rsidRPr="009B1BD0">
        <w:rPr>
          <w:rFonts w:ascii="Arial" w:hAnsi="Arial" w:cs="Arial"/>
        </w:rPr>
        <w:t>sděl</w:t>
      </w:r>
      <w:r w:rsidR="00EE31F7" w:rsidRPr="009B1BD0">
        <w:rPr>
          <w:rFonts w:ascii="Arial" w:hAnsi="Arial" w:cs="Arial"/>
        </w:rPr>
        <w:t xml:space="preserve">eny </w:t>
      </w:r>
      <w:r w:rsidR="00034B50" w:rsidRPr="009B1BD0">
        <w:rPr>
          <w:rFonts w:ascii="Arial" w:hAnsi="Arial" w:cs="Arial"/>
        </w:rPr>
        <w:t xml:space="preserve">odborné připomínky o nevhodnosti, </w:t>
      </w:r>
      <w:r w:rsidR="004F35D6" w:rsidRPr="009B1BD0">
        <w:rPr>
          <w:rFonts w:ascii="Arial" w:hAnsi="Arial" w:cs="Arial"/>
        </w:rPr>
        <w:t xml:space="preserve">že by bylo </w:t>
      </w:r>
      <w:r w:rsidR="00034B50" w:rsidRPr="009B1BD0">
        <w:rPr>
          <w:rFonts w:ascii="Arial" w:hAnsi="Arial" w:cs="Arial"/>
        </w:rPr>
        <w:t>nutné souhlasné projednání s dotčenými orgány a rovněž</w:t>
      </w:r>
      <w:r w:rsidR="00272273" w:rsidRPr="009B1BD0">
        <w:rPr>
          <w:rFonts w:ascii="Arial" w:hAnsi="Arial" w:cs="Arial"/>
        </w:rPr>
        <w:t xml:space="preserve"> konečný souhlas ZM, konzultováno i na komisích se shodným názorem …</w:t>
      </w:r>
      <w:r w:rsidR="00034B50" w:rsidRPr="009B1BD0">
        <w:rPr>
          <w:rFonts w:ascii="Arial" w:hAnsi="Arial" w:cs="Arial"/>
        </w:rPr>
        <w:t xml:space="preserve"> </w:t>
      </w:r>
      <w:r w:rsidR="00EC18FF">
        <w:rPr>
          <w:rFonts w:ascii="Arial" w:hAnsi="Arial" w:cs="Arial"/>
        </w:rPr>
        <w:t>Orgány ochrany přírody a </w:t>
      </w:r>
      <w:r w:rsidR="00EE31F7" w:rsidRPr="009B1BD0">
        <w:rPr>
          <w:rFonts w:ascii="Arial" w:hAnsi="Arial" w:cs="Arial"/>
        </w:rPr>
        <w:t xml:space="preserve">krajiny by s největší pravděpodobností tento záměr </w:t>
      </w:r>
      <w:r w:rsidR="00D34FBB" w:rsidRPr="009B1BD0">
        <w:rPr>
          <w:rFonts w:ascii="Arial" w:hAnsi="Arial" w:cs="Arial"/>
        </w:rPr>
        <w:t>neodsouhlasily</w:t>
      </w:r>
      <w:r w:rsidR="00EE31F7" w:rsidRPr="009B1BD0">
        <w:rPr>
          <w:rFonts w:ascii="Arial" w:hAnsi="Arial" w:cs="Arial"/>
        </w:rPr>
        <w:t xml:space="preserve"> (rozhodně ne v celém rozsahu</w:t>
      </w:r>
      <w:r w:rsidR="00D34FBB" w:rsidRPr="009B1BD0">
        <w:rPr>
          <w:rFonts w:ascii="Arial" w:hAnsi="Arial" w:cs="Arial"/>
        </w:rPr>
        <w:t>, který by způsobil nežádoucí srůst zástavby a přerušení přírodní linie).</w:t>
      </w:r>
      <w:r>
        <w:rPr>
          <w:rFonts w:ascii="Arial" w:hAnsi="Arial" w:cs="Arial"/>
        </w:rPr>
        <w:t>)</w:t>
      </w:r>
      <w:r w:rsidR="00A64D49">
        <w:rPr>
          <w:rFonts w:ascii="Arial" w:hAnsi="Arial" w:cs="Arial"/>
        </w:rPr>
        <w:t xml:space="preserve"> Zachování údolních niv a ploch vhodných pro vsak a odvod srážek v krajině i v sídlech je jedním z principů územního plánu. </w:t>
      </w:r>
      <w:r w:rsidR="00E57F19" w:rsidRPr="00E57F19">
        <w:rPr>
          <w:rFonts w:ascii="Arial" w:hAnsi="Arial" w:cs="Arial"/>
          <w:bCs/>
        </w:rPr>
        <w:t>D</w:t>
      </w:r>
      <w:r w:rsidR="00E57F19">
        <w:rPr>
          <w:rFonts w:ascii="Arial" w:hAnsi="Arial" w:cs="Arial"/>
          <w:bCs/>
        </w:rPr>
        <w:t>ále d</w:t>
      </w:r>
      <w:r w:rsidR="00E57F19" w:rsidRPr="00E57F19">
        <w:rPr>
          <w:rFonts w:ascii="Arial" w:hAnsi="Arial" w:cs="Arial"/>
          <w:bCs/>
        </w:rPr>
        <w:t xml:space="preserve">le stavebního zákona § 55, odst. (4): "Další zastavitelné plochy lze změnou územního plánu vymezit pouze na základě prokázání potřeby vymezení nových zastavitelných ploch." Vzhledem ke krátké době od vydání ÚP není většina dříve navržených ploch pro </w:t>
      </w:r>
      <w:r w:rsidR="00E57F19">
        <w:rPr>
          <w:rFonts w:ascii="Arial" w:hAnsi="Arial" w:cs="Arial"/>
          <w:bCs/>
        </w:rPr>
        <w:t>bydlení</w:t>
      </w:r>
      <w:r w:rsidR="00E57F19" w:rsidRPr="00E57F19">
        <w:rPr>
          <w:rFonts w:ascii="Arial" w:hAnsi="Arial" w:cs="Arial"/>
          <w:bCs/>
        </w:rPr>
        <w:t xml:space="preserve"> dosud využita a ploch </w:t>
      </w:r>
      <w:r w:rsidR="00E57F19">
        <w:rPr>
          <w:rFonts w:ascii="Arial" w:hAnsi="Arial" w:cs="Arial"/>
          <w:bCs/>
        </w:rPr>
        <w:t>pro rozvoj obytné zástavby</w:t>
      </w:r>
      <w:r w:rsidR="00E57F19" w:rsidRPr="00E57F19">
        <w:rPr>
          <w:rFonts w:ascii="Arial" w:hAnsi="Arial" w:cs="Arial"/>
          <w:bCs/>
        </w:rPr>
        <w:t xml:space="preserve"> je tak vymezen dostatek. </w:t>
      </w:r>
      <w:r w:rsidR="00A64D49">
        <w:rPr>
          <w:rFonts w:ascii="Arial" w:hAnsi="Arial" w:cs="Arial"/>
        </w:rPr>
        <w:t>Záměr tak není v souladu s urbanistickou koncepcí územního plánu a není doporučen k zapracování do změny územního plánu.</w:t>
      </w:r>
    </w:p>
    <w:p w14:paraId="58285E07" w14:textId="5643DF5C" w:rsidR="005E2035" w:rsidRDefault="005123CF" w:rsidP="00534706">
      <w:pPr>
        <w:spacing w:before="80" w:line="240" w:lineRule="auto"/>
        <w:rPr>
          <w:rFonts w:ascii="Arial Narrow" w:hAnsi="Arial Narrow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61EE59E0" wp14:editId="21C7D45D">
            <wp:extent cx="5990897" cy="2840345"/>
            <wp:effectExtent l="0" t="0" r="0" b="0"/>
            <wp:docPr id="15" name="obrázek 15" descr="Mnisek-poz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nisek-pozn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50" cy="28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9CB7" w14:textId="77777777" w:rsidR="00584D7F" w:rsidRDefault="00584D7F" w:rsidP="00534706">
      <w:pPr>
        <w:spacing w:before="80" w:line="240" w:lineRule="auto"/>
        <w:rPr>
          <w:rFonts w:ascii="Arial Narrow" w:hAnsi="Arial Narrow"/>
        </w:rPr>
      </w:pPr>
    </w:p>
    <w:p w14:paraId="040B1D7F" w14:textId="4B32FB98" w:rsidR="00CD7D98" w:rsidRDefault="00CD7D98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579EEA36" w14:textId="27D9C68B" w:rsidR="00A64D49" w:rsidRPr="00A64D49" w:rsidRDefault="00A64D49" w:rsidP="00A64D49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</w:rPr>
      </w:pPr>
      <w:r w:rsidRPr="00140ED9">
        <w:rPr>
          <w:rFonts w:ascii="Arial" w:hAnsi="Arial" w:cs="Arial"/>
          <w:b/>
          <w:bCs/>
        </w:rPr>
        <w:lastRenderedPageBreak/>
        <w:t>Požadavek na zařazení pozemků 970/6, 970/8, 970/9, 970/15, 970/16, 970/17, 970/18, 970/19 a 970/20 z ploch RN – rekreace – na plochách přírodního charakteru do plochy BV – bydlení – v rodinných domech – venkovské</w:t>
      </w:r>
      <w:r w:rsidRPr="00A64D4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Lokalita je </w:t>
      </w:r>
      <w:r w:rsidR="00E57F19">
        <w:rPr>
          <w:rFonts w:ascii="Arial" w:hAnsi="Arial" w:cs="Arial"/>
        </w:rPr>
        <w:t xml:space="preserve">v </w:t>
      </w:r>
      <w:r>
        <w:rPr>
          <w:rFonts w:ascii="Arial" w:hAnsi="Arial" w:cs="Arial"/>
        </w:rPr>
        <w:t>okrajové poloze</w:t>
      </w:r>
      <w:r w:rsidR="00E57F19">
        <w:rPr>
          <w:rFonts w:ascii="Arial" w:hAnsi="Arial" w:cs="Arial"/>
        </w:rPr>
        <w:t xml:space="preserve"> města</w:t>
      </w:r>
      <w:r>
        <w:rPr>
          <w:rFonts w:ascii="Arial" w:hAnsi="Arial" w:cs="Arial"/>
        </w:rPr>
        <w:t>, nenavazuje na</w:t>
      </w:r>
      <w:r w:rsidR="00140E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zastavěné území (pouze na</w:t>
      </w:r>
      <w:r w:rsidR="00140ED9">
        <w:rPr>
          <w:rFonts w:ascii="Arial" w:hAnsi="Arial" w:cs="Arial"/>
        </w:rPr>
        <w:t> </w:t>
      </w:r>
      <w:r>
        <w:rPr>
          <w:rFonts w:ascii="Arial" w:hAnsi="Arial" w:cs="Arial"/>
        </w:rPr>
        <w:t>zastavitelnou plochu), nachází se v</w:t>
      </w:r>
      <w:r w:rsidR="00140ED9">
        <w:rPr>
          <w:rFonts w:ascii="Arial" w:hAnsi="Arial" w:cs="Arial"/>
        </w:rPr>
        <w:t xml:space="preserve"> místě, kde byla vymezena plocha pro </w:t>
      </w:r>
      <w:r w:rsidR="00140ED9" w:rsidRPr="00140ED9">
        <w:rPr>
          <w:rFonts w:ascii="Arial" w:hAnsi="Arial" w:cs="Arial"/>
          <w:b/>
          <w:bCs/>
        </w:rPr>
        <w:t>přírodní</w:t>
      </w:r>
      <w:r w:rsidR="00140ED9">
        <w:rPr>
          <w:rFonts w:ascii="Arial" w:hAnsi="Arial" w:cs="Arial"/>
        </w:rPr>
        <w:t xml:space="preserve"> rekreaci typu pobytová louka a nikoli stavbu chat. </w:t>
      </w:r>
      <w:r w:rsidR="00E57F19" w:rsidRPr="00E57F19">
        <w:rPr>
          <w:rFonts w:ascii="Arial" w:hAnsi="Arial" w:cs="Arial"/>
          <w:bCs/>
        </w:rPr>
        <w:t>D</w:t>
      </w:r>
      <w:r w:rsidR="00E57F19">
        <w:rPr>
          <w:rFonts w:ascii="Arial" w:hAnsi="Arial" w:cs="Arial"/>
          <w:bCs/>
        </w:rPr>
        <w:t>ále d</w:t>
      </w:r>
      <w:r w:rsidR="00E57F19" w:rsidRPr="00E57F19">
        <w:rPr>
          <w:rFonts w:ascii="Arial" w:hAnsi="Arial" w:cs="Arial"/>
          <w:bCs/>
        </w:rPr>
        <w:t xml:space="preserve">le stavebního zákona § 55, odst. (4): "Další zastavitelné plochy lze změnou územního plánu vymezit pouze na základě prokázání potřeby vymezení nových zastavitelných ploch." Vzhledem ke krátké době od vydání ÚP není většina dříve navržených ploch pro </w:t>
      </w:r>
      <w:r w:rsidR="00E57F19">
        <w:rPr>
          <w:rFonts w:ascii="Arial" w:hAnsi="Arial" w:cs="Arial"/>
          <w:bCs/>
        </w:rPr>
        <w:t>bydlení</w:t>
      </w:r>
      <w:r w:rsidR="00E57F19" w:rsidRPr="00E57F19">
        <w:rPr>
          <w:rFonts w:ascii="Arial" w:hAnsi="Arial" w:cs="Arial"/>
          <w:bCs/>
        </w:rPr>
        <w:t xml:space="preserve"> dosud využita a ploch </w:t>
      </w:r>
      <w:r w:rsidR="00E57F19">
        <w:rPr>
          <w:rFonts w:ascii="Arial" w:hAnsi="Arial" w:cs="Arial"/>
          <w:bCs/>
        </w:rPr>
        <w:t>pro rozvoj obytné zástavby</w:t>
      </w:r>
      <w:r w:rsidR="00E57F19" w:rsidRPr="00E57F19">
        <w:rPr>
          <w:rFonts w:ascii="Arial" w:hAnsi="Arial" w:cs="Arial"/>
          <w:bCs/>
        </w:rPr>
        <w:t xml:space="preserve"> je tak vymezen dostatek. </w:t>
      </w:r>
      <w:r w:rsidR="00140ED9">
        <w:rPr>
          <w:rFonts w:ascii="Arial" w:hAnsi="Arial" w:cs="Arial"/>
        </w:rPr>
        <w:t xml:space="preserve">Záměr není v souladu s urbanistickou koncepcí územního plánu a </w:t>
      </w:r>
      <w:r w:rsidR="00E57F19">
        <w:rPr>
          <w:rFonts w:ascii="Arial" w:hAnsi="Arial" w:cs="Arial"/>
          <w:bCs/>
        </w:rPr>
        <w:t>není doporučen k zapracování do </w:t>
      </w:r>
      <w:r w:rsidR="00140ED9">
        <w:rPr>
          <w:rFonts w:ascii="Arial" w:hAnsi="Arial" w:cs="Arial"/>
          <w:bCs/>
        </w:rPr>
        <w:t>změny územního plánu.</w:t>
      </w:r>
    </w:p>
    <w:p w14:paraId="6682332C" w14:textId="1CE29024" w:rsidR="00A64D49" w:rsidRDefault="009758F8" w:rsidP="00534706">
      <w:pPr>
        <w:spacing w:before="80" w:line="240" w:lineRule="auto"/>
        <w:rPr>
          <w:rFonts w:ascii="Arial Narrow" w:hAnsi="Arial Narrow"/>
        </w:rPr>
      </w:pPr>
      <w:r>
        <w:rPr>
          <w:noProof/>
          <w:lang w:eastAsia="cs-CZ"/>
        </w:rPr>
        <w:drawing>
          <wp:inline distT="0" distB="0" distL="0" distR="0" wp14:anchorId="5CA3A63E" wp14:editId="4BB5C152">
            <wp:extent cx="5738649" cy="261539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34" cy="26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7119" w14:textId="03BF9285" w:rsidR="009758F8" w:rsidRDefault="009758F8" w:rsidP="00534706">
      <w:pPr>
        <w:spacing w:before="80" w:line="240" w:lineRule="auto"/>
        <w:rPr>
          <w:rFonts w:ascii="Arial Narrow" w:hAnsi="Arial Narrow"/>
        </w:rPr>
      </w:pPr>
    </w:p>
    <w:p w14:paraId="5F993FFE" w14:textId="77777777" w:rsidR="00A6633E" w:rsidRDefault="00A6633E" w:rsidP="00534706">
      <w:pPr>
        <w:spacing w:before="80" w:line="240" w:lineRule="auto"/>
        <w:rPr>
          <w:rFonts w:ascii="Arial Narrow" w:hAnsi="Arial Narrow"/>
        </w:rPr>
      </w:pPr>
    </w:p>
    <w:p w14:paraId="1538EEAF" w14:textId="77777777" w:rsidR="00A6633E" w:rsidRDefault="00A6633E" w:rsidP="00534706">
      <w:pPr>
        <w:spacing w:before="80" w:line="240" w:lineRule="auto"/>
        <w:rPr>
          <w:rFonts w:ascii="Arial Narrow" w:hAnsi="Arial Narrow"/>
        </w:rPr>
      </w:pPr>
    </w:p>
    <w:p w14:paraId="7445F386" w14:textId="0A2AC8E8" w:rsidR="00CB1F91" w:rsidRPr="00CB1F91" w:rsidRDefault="00CB1F91" w:rsidP="00D24FA9">
      <w:pPr>
        <w:pStyle w:val="Odstavecseseznamem"/>
        <w:numPr>
          <w:ilvl w:val="0"/>
          <w:numId w:val="5"/>
        </w:numPr>
        <w:spacing w:before="120" w:line="228" w:lineRule="auto"/>
        <w:ind w:left="426" w:hanging="284"/>
        <w:contextualSpacing w:val="0"/>
        <w:jc w:val="both"/>
        <w:rPr>
          <w:rFonts w:ascii="Arial" w:hAnsi="Arial" w:cs="Arial"/>
          <w:b/>
          <w:bCs/>
        </w:rPr>
      </w:pPr>
      <w:r w:rsidRPr="00CB1F91">
        <w:rPr>
          <w:rFonts w:ascii="Arial" w:hAnsi="Arial" w:cs="Arial"/>
          <w:b/>
          <w:bCs/>
        </w:rPr>
        <w:t xml:space="preserve">Požadavek na zařazení pozemku 57/7 v k. </w:t>
      </w:r>
      <w:proofErr w:type="spellStart"/>
      <w:r w:rsidRPr="00CB1F91">
        <w:rPr>
          <w:rFonts w:ascii="Arial" w:hAnsi="Arial" w:cs="Arial"/>
          <w:b/>
          <w:bCs/>
        </w:rPr>
        <w:t>ú.</w:t>
      </w:r>
      <w:proofErr w:type="spellEnd"/>
      <w:r w:rsidRPr="00CB1F91">
        <w:rPr>
          <w:rFonts w:ascii="Arial" w:hAnsi="Arial" w:cs="Arial"/>
          <w:b/>
          <w:bCs/>
        </w:rPr>
        <w:t xml:space="preserve"> Stříbrná Lhota do </w:t>
      </w:r>
      <w:r>
        <w:rPr>
          <w:rFonts w:ascii="Arial" w:hAnsi="Arial" w:cs="Arial"/>
          <w:b/>
          <w:bCs/>
        </w:rPr>
        <w:t>z ploch NP – plochy přírodní do ploch</w:t>
      </w:r>
      <w:r w:rsidRPr="00140ED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RN – rekreace – na plochách přírodního charakteru, RX – rekreace – se specifickým využitím a RZ – rekreace – zahrádkové osady. </w:t>
      </w:r>
      <w:r>
        <w:rPr>
          <w:rFonts w:ascii="Arial" w:hAnsi="Arial" w:cs="Arial"/>
          <w:bCs/>
        </w:rPr>
        <w:t xml:space="preserve">Podnět není vhodné zapracovat, protože se jedná o údolní nivu, přírodně cenné území chráněné ze zákona, </w:t>
      </w:r>
      <w:r w:rsidR="00A22378">
        <w:rPr>
          <w:rFonts w:ascii="Arial" w:hAnsi="Arial" w:cs="Arial"/>
          <w:bCs/>
        </w:rPr>
        <w:t>zde navíc hodnotné pro vsak srážek. Také z urbanistického hledi</w:t>
      </w:r>
      <w:r w:rsidR="00EC18FF">
        <w:rPr>
          <w:rFonts w:ascii="Arial" w:hAnsi="Arial" w:cs="Arial"/>
          <w:bCs/>
        </w:rPr>
        <w:t>ska zde rozšiřování zástavby do </w:t>
      </w:r>
      <w:r w:rsidR="00A22378">
        <w:rPr>
          <w:rFonts w:ascii="Arial" w:hAnsi="Arial" w:cs="Arial"/>
          <w:bCs/>
        </w:rPr>
        <w:t>volné krajiny není vhod</w:t>
      </w:r>
      <w:r w:rsidR="00D24FA9">
        <w:rPr>
          <w:rFonts w:ascii="Arial" w:hAnsi="Arial" w:cs="Arial"/>
          <w:bCs/>
        </w:rPr>
        <w:t>n</w:t>
      </w:r>
      <w:r w:rsidR="00A22378">
        <w:rPr>
          <w:rFonts w:ascii="Arial" w:hAnsi="Arial" w:cs="Arial"/>
          <w:bCs/>
        </w:rPr>
        <w:t xml:space="preserve">é. </w:t>
      </w:r>
      <w:r w:rsidR="00D24FA9" w:rsidRPr="00D24FA9">
        <w:rPr>
          <w:rFonts w:ascii="Arial" w:hAnsi="Arial" w:cs="Arial"/>
          <w:bCs/>
        </w:rPr>
        <w:t xml:space="preserve">Zachování údolních niv a ploch vhodných pro vsak a odvod srážek v krajině i v sídlech je jedním z principů územního plánu. </w:t>
      </w:r>
      <w:r w:rsidR="00E57F19" w:rsidRPr="00E57F19">
        <w:rPr>
          <w:rFonts w:ascii="Arial" w:hAnsi="Arial" w:cs="Arial"/>
          <w:bCs/>
        </w:rPr>
        <w:t>D</w:t>
      </w:r>
      <w:r w:rsidR="00E57F19">
        <w:rPr>
          <w:rFonts w:ascii="Arial" w:hAnsi="Arial" w:cs="Arial"/>
          <w:bCs/>
        </w:rPr>
        <w:t>ále d</w:t>
      </w:r>
      <w:r w:rsidR="00E57F19" w:rsidRPr="00E57F19">
        <w:rPr>
          <w:rFonts w:ascii="Arial" w:hAnsi="Arial" w:cs="Arial"/>
          <w:bCs/>
        </w:rPr>
        <w:t xml:space="preserve">le stavebního zákona § 55, odst. (4): "Další zastavitelné plochy lze změnou </w:t>
      </w:r>
      <w:r w:rsidR="006746A2">
        <w:rPr>
          <w:rFonts w:ascii="Arial" w:hAnsi="Arial" w:cs="Arial"/>
          <w:bCs/>
        </w:rPr>
        <w:t>územního plánu vymezit pouze na </w:t>
      </w:r>
      <w:r w:rsidR="00E57F19" w:rsidRPr="00E57F19">
        <w:rPr>
          <w:rFonts w:ascii="Arial" w:hAnsi="Arial" w:cs="Arial"/>
          <w:bCs/>
        </w:rPr>
        <w:t xml:space="preserve">základě prokázání potřeby vymezení nových zastavitelných ploch." Vzhledem ke krátké době od vydání ÚP není většina dříve navržených </w:t>
      </w:r>
      <w:r w:rsidR="00E57F19">
        <w:rPr>
          <w:rFonts w:ascii="Arial" w:hAnsi="Arial" w:cs="Arial"/>
          <w:bCs/>
        </w:rPr>
        <w:t>zastavitelných ploch</w:t>
      </w:r>
      <w:r w:rsidR="00E57F19" w:rsidRPr="00E57F19">
        <w:rPr>
          <w:rFonts w:ascii="Arial" w:hAnsi="Arial" w:cs="Arial"/>
          <w:bCs/>
        </w:rPr>
        <w:t xml:space="preserve"> dosud využita</w:t>
      </w:r>
      <w:r w:rsidR="00E57F19">
        <w:rPr>
          <w:rFonts w:ascii="Arial" w:hAnsi="Arial" w:cs="Arial"/>
          <w:bCs/>
        </w:rPr>
        <w:t xml:space="preserve"> </w:t>
      </w:r>
      <w:r w:rsidR="00E57F19" w:rsidRPr="00E57F19">
        <w:rPr>
          <w:rFonts w:ascii="Arial" w:hAnsi="Arial" w:cs="Arial"/>
          <w:bCs/>
        </w:rPr>
        <w:t xml:space="preserve">a ploch </w:t>
      </w:r>
      <w:r w:rsidR="00E57F19">
        <w:rPr>
          <w:rFonts w:ascii="Arial" w:hAnsi="Arial" w:cs="Arial"/>
          <w:bCs/>
        </w:rPr>
        <w:t xml:space="preserve">pro rozvoj </w:t>
      </w:r>
      <w:r w:rsidR="00E57F19" w:rsidRPr="00E57F19">
        <w:rPr>
          <w:rFonts w:ascii="Arial" w:hAnsi="Arial" w:cs="Arial"/>
          <w:bCs/>
        </w:rPr>
        <w:t xml:space="preserve">je tak vymezen dostatek. </w:t>
      </w:r>
      <w:r w:rsidR="00D24FA9" w:rsidRPr="00D24FA9">
        <w:rPr>
          <w:rFonts w:ascii="Arial" w:hAnsi="Arial" w:cs="Arial"/>
          <w:bCs/>
        </w:rPr>
        <w:t>Záměr tak n</w:t>
      </w:r>
      <w:r w:rsidR="00EC18FF">
        <w:rPr>
          <w:rFonts w:ascii="Arial" w:hAnsi="Arial" w:cs="Arial"/>
          <w:bCs/>
        </w:rPr>
        <w:t>ení v souladu s </w:t>
      </w:r>
      <w:r w:rsidR="00D24FA9" w:rsidRPr="00D24FA9">
        <w:rPr>
          <w:rFonts w:ascii="Arial" w:hAnsi="Arial" w:cs="Arial"/>
          <w:bCs/>
        </w:rPr>
        <w:t>urbanistickou koncepcí územního plánu a není doporučen k zapracování do změny územního plánu.</w:t>
      </w:r>
    </w:p>
    <w:p w14:paraId="51B88E42" w14:textId="17F67166" w:rsidR="00D24FA9" w:rsidRDefault="005B2218" w:rsidP="00534706">
      <w:pPr>
        <w:spacing w:before="8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469106C" wp14:editId="1C33BF33">
            <wp:extent cx="2887599" cy="1999986"/>
            <wp:effectExtent l="0" t="0" r="8255" b="63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8275" cy="20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A9" w:rsidRPr="00D24FA9">
        <w:rPr>
          <w:noProof/>
          <w:lang w:eastAsia="cs-CZ"/>
        </w:rPr>
        <w:t xml:space="preserve"> </w:t>
      </w:r>
      <w:r w:rsidR="00D24FA9">
        <w:rPr>
          <w:noProof/>
          <w:lang w:eastAsia="cs-CZ"/>
        </w:rPr>
        <w:drawing>
          <wp:inline distT="0" distB="0" distL="0" distR="0" wp14:anchorId="527E1EAC" wp14:editId="02745B92">
            <wp:extent cx="2857500" cy="1990912"/>
            <wp:effectExtent l="0" t="0" r="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418" cy="201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55AC" w14:textId="77777777" w:rsidR="00D071DB" w:rsidRDefault="00D071DB" w:rsidP="00534706">
      <w:pPr>
        <w:spacing w:before="80" w:line="240" w:lineRule="auto"/>
        <w:rPr>
          <w:noProof/>
          <w:lang w:eastAsia="cs-CZ"/>
        </w:rPr>
      </w:pPr>
    </w:p>
    <w:p w14:paraId="524B1063" w14:textId="77777777" w:rsidR="00A6633E" w:rsidRDefault="00A6633E" w:rsidP="00534706">
      <w:pPr>
        <w:spacing w:before="80" w:line="240" w:lineRule="auto"/>
        <w:rPr>
          <w:noProof/>
          <w:lang w:eastAsia="cs-CZ"/>
        </w:rPr>
      </w:pPr>
    </w:p>
    <w:p w14:paraId="24C082F4" w14:textId="77777777" w:rsidR="00A6633E" w:rsidRDefault="00A6633E" w:rsidP="00534706">
      <w:pPr>
        <w:spacing w:before="80" w:line="240" w:lineRule="auto"/>
        <w:rPr>
          <w:noProof/>
          <w:lang w:eastAsia="cs-CZ"/>
        </w:rPr>
      </w:pPr>
    </w:p>
    <w:p w14:paraId="086C8E14" w14:textId="77777777" w:rsidR="00A6633E" w:rsidRDefault="00A6633E" w:rsidP="00534706">
      <w:pPr>
        <w:spacing w:before="80" w:line="240" w:lineRule="auto"/>
        <w:rPr>
          <w:noProof/>
          <w:lang w:eastAsia="cs-CZ"/>
        </w:rPr>
      </w:pPr>
    </w:p>
    <w:p w14:paraId="2B52602C" w14:textId="1A7191C3" w:rsidR="00D071DB" w:rsidRPr="00D071DB" w:rsidRDefault="00EC18FF" w:rsidP="00EC18FF">
      <w:pPr>
        <w:pStyle w:val="Odstavecseseznamem"/>
        <w:numPr>
          <w:ilvl w:val="0"/>
          <w:numId w:val="5"/>
        </w:numPr>
        <w:spacing w:before="120" w:line="228" w:lineRule="auto"/>
        <w:ind w:left="284" w:hanging="284"/>
        <w:contextualSpacing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Záměr na zařazen</w:t>
      </w:r>
      <w:r w:rsidR="00D071DB" w:rsidRPr="00D071DB">
        <w:rPr>
          <w:rFonts w:ascii="Arial" w:hAnsi="Arial" w:cs="Arial"/>
          <w:b/>
          <w:bCs/>
        </w:rPr>
        <w:t xml:space="preserve">í pozemků </w:t>
      </w:r>
      <w:proofErr w:type="spellStart"/>
      <w:r w:rsidR="00D071DB" w:rsidRPr="00D071DB">
        <w:rPr>
          <w:rFonts w:ascii="Arial" w:hAnsi="Arial" w:cs="Arial"/>
          <w:b/>
          <w:bCs/>
        </w:rPr>
        <w:t>parc</w:t>
      </w:r>
      <w:proofErr w:type="spellEnd"/>
      <w:r w:rsidR="00D071DB" w:rsidRPr="00D071DB">
        <w:rPr>
          <w:rFonts w:ascii="Arial" w:hAnsi="Arial" w:cs="Arial"/>
          <w:b/>
          <w:bCs/>
        </w:rPr>
        <w:t>. č. 27</w:t>
      </w:r>
      <w:r>
        <w:rPr>
          <w:rFonts w:ascii="Arial" w:hAnsi="Arial" w:cs="Arial"/>
          <w:b/>
          <w:bCs/>
        </w:rPr>
        <w:t xml:space="preserve">4/11 a 274/12 v k </w:t>
      </w:r>
      <w:proofErr w:type="spellStart"/>
      <w:r>
        <w:rPr>
          <w:rFonts w:ascii="Arial" w:hAnsi="Arial" w:cs="Arial"/>
          <w:b/>
          <w:bCs/>
        </w:rPr>
        <w:t>ú.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Rymaně</w:t>
      </w:r>
      <w:proofErr w:type="spellEnd"/>
      <w:r>
        <w:rPr>
          <w:rFonts w:ascii="Arial" w:hAnsi="Arial" w:cs="Arial"/>
          <w:b/>
          <w:bCs/>
        </w:rPr>
        <w:t xml:space="preserve"> do plochy</w:t>
      </w:r>
      <w:r w:rsidR="00D071DB" w:rsidRPr="00D071DB">
        <w:rPr>
          <w:rFonts w:ascii="Arial" w:hAnsi="Arial" w:cs="Arial"/>
          <w:b/>
          <w:bCs/>
        </w:rPr>
        <w:t xml:space="preserve"> RX – rekreace – se specifickým využitím</w:t>
      </w:r>
      <w:r w:rsidR="00D071DB" w:rsidRPr="00EC18FF">
        <w:rPr>
          <w:rFonts w:ascii="Arial" w:hAnsi="Arial" w:cs="Arial"/>
          <w:b/>
          <w:bCs/>
        </w:rPr>
        <w:t xml:space="preserve">. </w:t>
      </w:r>
      <w:r w:rsidR="00D071DB" w:rsidRPr="00EC18FF">
        <w:rPr>
          <w:rFonts w:ascii="Arial" w:hAnsi="Arial" w:cs="Arial"/>
          <w:bCs/>
        </w:rPr>
        <w:t xml:space="preserve">Jedná se o </w:t>
      </w:r>
      <w:r w:rsidR="006746A2">
        <w:rPr>
          <w:rFonts w:ascii="Arial" w:hAnsi="Arial" w:cs="Arial"/>
          <w:bCs/>
        </w:rPr>
        <w:t>plochu navazující na zastavěné území</w:t>
      </w:r>
      <w:r w:rsidR="00D071DB" w:rsidRPr="00EC18FF">
        <w:rPr>
          <w:rFonts w:ascii="Arial" w:hAnsi="Arial" w:cs="Arial"/>
          <w:bCs/>
        </w:rPr>
        <w:t xml:space="preserve">, nicméně </w:t>
      </w:r>
      <w:r w:rsidR="006746A2">
        <w:rPr>
          <w:rFonts w:ascii="Arial" w:hAnsi="Arial" w:cs="Arial"/>
          <w:bCs/>
        </w:rPr>
        <w:t>v</w:t>
      </w:r>
      <w:r w:rsidR="006746A2" w:rsidRPr="00E57F19">
        <w:rPr>
          <w:rFonts w:ascii="Arial" w:hAnsi="Arial" w:cs="Arial"/>
          <w:bCs/>
        </w:rPr>
        <w:t>zhledem ke krátké době od vydání ÚP není většina dříve navržených</w:t>
      </w:r>
      <w:r w:rsidR="006746A2">
        <w:rPr>
          <w:rFonts w:ascii="Arial" w:hAnsi="Arial" w:cs="Arial"/>
          <w:bCs/>
        </w:rPr>
        <w:t xml:space="preserve"> rozvojových</w:t>
      </w:r>
      <w:r w:rsidR="006746A2" w:rsidRPr="00E57F19">
        <w:rPr>
          <w:rFonts w:ascii="Arial" w:hAnsi="Arial" w:cs="Arial"/>
          <w:bCs/>
        </w:rPr>
        <w:t xml:space="preserve"> ploch dosud využita a ploch </w:t>
      </w:r>
      <w:r w:rsidR="006746A2">
        <w:rPr>
          <w:rFonts w:ascii="Arial" w:hAnsi="Arial" w:cs="Arial"/>
          <w:bCs/>
        </w:rPr>
        <w:t>pro rozvoj je tak vymezen dostatek</w:t>
      </w:r>
      <w:r w:rsidR="00D071DB" w:rsidRPr="00EC18FF">
        <w:rPr>
          <w:rFonts w:ascii="Arial" w:hAnsi="Arial" w:cs="Arial"/>
          <w:bCs/>
        </w:rPr>
        <w:t>.</w:t>
      </w:r>
      <w:r w:rsidR="006746A2">
        <w:rPr>
          <w:rFonts w:ascii="Arial" w:hAnsi="Arial" w:cs="Arial"/>
          <w:bCs/>
        </w:rPr>
        <w:t xml:space="preserve"> </w:t>
      </w:r>
      <w:r w:rsidR="00E57F19">
        <w:rPr>
          <w:rFonts w:ascii="Arial" w:hAnsi="Arial" w:cs="Arial"/>
          <w:bCs/>
        </w:rPr>
        <w:t>D</w:t>
      </w:r>
      <w:r w:rsidR="00E57F19" w:rsidRPr="00E57F19">
        <w:rPr>
          <w:rFonts w:ascii="Arial" w:hAnsi="Arial" w:cs="Arial"/>
          <w:bCs/>
        </w:rPr>
        <w:t xml:space="preserve">le stavebního zákona § 55, odst. (4): "Další zastavitelné plochy lze změnou územního plánu vymezit pouze na základě prokázání potřeby vymezení nových zastavitelných ploch." </w:t>
      </w:r>
      <w:r w:rsidRPr="00EC18FF">
        <w:rPr>
          <w:rFonts w:ascii="Arial" w:hAnsi="Arial" w:cs="Arial"/>
          <w:bCs/>
        </w:rPr>
        <w:t>Záměr proto není doporučen k zapracování do změny územního plánu.</w:t>
      </w:r>
      <w:r w:rsidR="00D071DB" w:rsidRPr="00D071DB">
        <w:rPr>
          <w:rFonts w:ascii="Arial" w:hAnsi="Arial" w:cs="Arial"/>
          <w:bCs/>
          <w:highlight w:val="yellow"/>
        </w:rPr>
        <w:t xml:space="preserve"> </w:t>
      </w:r>
    </w:p>
    <w:p w14:paraId="440C6A2F" w14:textId="0DD9889A" w:rsidR="00D071DB" w:rsidRDefault="00D071DB" w:rsidP="00534706">
      <w:pPr>
        <w:spacing w:before="80" w:line="240" w:lineRule="auto"/>
        <w:rPr>
          <w:rFonts w:ascii="Arial Narrow" w:hAnsi="Arial Narrow"/>
        </w:rPr>
      </w:pPr>
      <w:r>
        <w:rPr>
          <w:noProof/>
          <w:lang w:eastAsia="cs-CZ"/>
        </w:rPr>
        <w:drawing>
          <wp:inline distT="0" distB="0" distL="0" distR="0" wp14:anchorId="29DEA87C" wp14:editId="5DF2789C">
            <wp:extent cx="2876550" cy="2013586"/>
            <wp:effectExtent l="0" t="0" r="0" b="571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2390" cy="202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1DB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6C8442" wp14:editId="1A1AB68A">
            <wp:extent cx="2936954" cy="2000200"/>
            <wp:effectExtent l="0" t="0" r="0" b="63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952" cy="20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1DB" w:rsidSect="00515B08">
      <w:footerReference w:type="default" r:id="rId15"/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27839" w14:textId="77777777" w:rsidR="00CB2144" w:rsidRDefault="00CB2144" w:rsidP="00D943C5">
      <w:pPr>
        <w:spacing w:before="0" w:line="240" w:lineRule="auto"/>
      </w:pPr>
      <w:r>
        <w:separator/>
      </w:r>
    </w:p>
  </w:endnote>
  <w:endnote w:type="continuationSeparator" w:id="0">
    <w:p w14:paraId="070ADA25" w14:textId="77777777" w:rsidR="00CB2144" w:rsidRDefault="00CB2144" w:rsidP="00D943C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7766"/>
      <w:docPartObj>
        <w:docPartGallery w:val="Page Numbers (Bottom of Page)"/>
        <w:docPartUnique/>
      </w:docPartObj>
    </w:sdtPr>
    <w:sdtEndPr/>
    <w:sdtContent>
      <w:p w14:paraId="534D8F9E" w14:textId="77777777" w:rsidR="00537FB0" w:rsidRDefault="00537FB0">
        <w:pPr>
          <w:pStyle w:val="Zpat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769E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618B8FF7" w14:textId="77777777" w:rsidR="00537FB0" w:rsidRDefault="00537FB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0113F" w14:textId="77777777" w:rsidR="00CB2144" w:rsidRDefault="00CB2144" w:rsidP="00D943C5">
      <w:pPr>
        <w:spacing w:before="0" w:line="240" w:lineRule="auto"/>
      </w:pPr>
      <w:r>
        <w:separator/>
      </w:r>
    </w:p>
  </w:footnote>
  <w:footnote w:type="continuationSeparator" w:id="0">
    <w:p w14:paraId="617DCB31" w14:textId="77777777" w:rsidR="00CB2144" w:rsidRDefault="00CB2144" w:rsidP="00D943C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14EC1FBC"/>
    <w:name w:val="WW8Num3"/>
    <w:lvl w:ilvl="0">
      <w:start w:val="1"/>
      <w:numFmt w:val="decimal"/>
      <w:lvlText w:val="A.%1"/>
      <w:lvlJc w:val="left"/>
      <w:pPr>
        <w:tabs>
          <w:tab w:val="num" w:pos="-218"/>
        </w:tabs>
        <w:ind w:left="502" w:hanging="360"/>
      </w:pPr>
    </w:lvl>
    <w:lvl w:ilvl="1">
      <w:start w:val="1"/>
      <w:numFmt w:val="decimal"/>
      <w:lvlText w:val="A.4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84E6DDEE"/>
    <w:name w:val="WW8Num5"/>
    <w:lvl w:ilvl="0">
      <w:start w:val="1"/>
      <w:numFmt w:val="decimal"/>
      <w:pStyle w:val="Styl7"/>
      <w:lvlText w:val="A.2.%1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6"/>
    <w:multiLevelType w:val="singleLevel"/>
    <w:tmpl w:val="491AE526"/>
    <w:name w:val="WW8Num6"/>
    <w:lvl w:ilvl="0">
      <w:start w:val="1"/>
      <w:numFmt w:val="upperLetter"/>
      <w:lvlText w:val="%1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68B457C"/>
    <w:multiLevelType w:val="hybridMultilevel"/>
    <w:tmpl w:val="BE765A42"/>
    <w:lvl w:ilvl="0" w:tplc="18CEE686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B66550"/>
    <w:multiLevelType w:val="hybridMultilevel"/>
    <w:tmpl w:val="BE765A42"/>
    <w:lvl w:ilvl="0" w:tplc="18CEE686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9A6259D"/>
    <w:multiLevelType w:val="hybridMultilevel"/>
    <w:tmpl w:val="643CEA50"/>
    <w:lvl w:ilvl="0" w:tplc="040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4632D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B115BBE"/>
    <w:multiLevelType w:val="hybridMultilevel"/>
    <w:tmpl w:val="85A6A8A2"/>
    <w:lvl w:ilvl="0" w:tplc="6484B5D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C7238B1"/>
    <w:multiLevelType w:val="hybridMultilevel"/>
    <w:tmpl w:val="BE765A42"/>
    <w:lvl w:ilvl="0" w:tplc="18CEE686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3E63F14"/>
    <w:multiLevelType w:val="hybridMultilevel"/>
    <w:tmpl w:val="B6D0EEDA"/>
    <w:lvl w:ilvl="0" w:tplc="F4423EF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96D65"/>
    <w:multiLevelType w:val="hybridMultilevel"/>
    <w:tmpl w:val="E1AE4C4A"/>
    <w:lvl w:ilvl="0" w:tplc="6448B87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9"/>
  </w:num>
  <w:num w:numId="7">
    <w:abstractNumId w:val="7"/>
  </w:num>
  <w:num w:numId="8">
    <w:abstractNumId w:val="10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7E9"/>
    <w:rsid w:val="000059AC"/>
    <w:rsid w:val="000121A0"/>
    <w:rsid w:val="00023C5C"/>
    <w:rsid w:val="000274E1"/>
    <w:rsid w:val="00031346"/>
    <w:rsid w:val="00034B50"/>
    <w:rsid w:val="00040E2D"/>
    <w:rsid w:val="00053A00"/>
    <w:rsid w:val="000749FF"/>
    <w:rsid w:val="00077D48"/>
    <w:rsid w:val="000820BA"/>
    <w:rsid w:val="000820CC"/>
    <w:rsid w:val="00086174"/>
    <w:rsid w:val="00086E96"/>
    <w:rsid w:val="000902CA"/>
    <w:rsid w:val="000B08F1"/>
    <w:rsid w:val="000C163F"/>
    <w:rsid w:val="000D39C3"/>
    <w:rsid w:val="000D5A47"/>
    <w:rsid w:val="000F48DD"/>
    <w:rsid w:val="00101029"/>
    <w:rsid w:val="001013A3"/>
    <w:rsid w:val="00104E31"/>
    <w:rsid w:val="001240E9"/>
    <w:rsid w:val="00124D24"/>
    <w:rsid w:val="001276FB"/>
    <w:rsid w:val="00131395"/>
    <w:rsid w:val="00140ED9"/>
    <w:rsid w:val="00176F12"/>
    <w:rsid w:val="00177AE5"/>
    <w:rsid w:val="00182A3D"/>
    <w:rsid w:val="00185FC7"/>
    <w:rsid w:val="00194F37"/>
    <w:rsid w:val="00195ABE"/>
    <w:rsid w:val="001A281B"/>
    <w:rsid w:val="001C71E0"/>
    <w:rsid w:val="001D7C0C"/>
    <w:rsid w:val="001E1F8F"/>
    <w:rsid w:val="001F07AF"/>
    <w:rsid w:val="001F2798"/>
    <w:rsid w:val="001F6108"/>
    <w:rsid w:val="002047FE"/>
    <w:rsid w:val="00224CF0"/>
    <w:rsid w:val="00233611"/>
    <w:rsid w:val="002407EF"/>
    <w:rsid w:val="00250AF3"/>
    <w:rsid w:val="00251EBA"/>
    <w:rsid w:val="00260A4E"/>
    <w:rsid w:val="00265E84"/>
    <w:rsid w:val="00272273"/>
    <w:rsid w:val="002822C5"/>
    <w:rsid w:val="00285212"/>
    <w:rsid w:val="00294DD2"/>
    <w:rsid w:val="002970E1"/>
    <w:rsid w:val="002A2B30"/>
    <w:rsid w:val="002B01EE"/>
    <w:rsid w:val="002B1664"/>
    <w:rsid w:val="002B276F"/>
    <w:rsid w:val="002B567F"/>
    <w:rsid w:val="002B5A62"/>
    <w:rsid w:val="002B762F"/>
    <w:rsid w:val="002C37C0"/>
    <w:rsid w:val="002C4AAB"/>
    <w:rsid w:val="002D01C1"/>
    <w:rsid w:val="002D7787"/>
    <w:rsid w:val="002E3CDA"/>
    <w:rsid w:val="003141DF"/>
    <w:rsid w:val="00323F06"/>
    <w:rsid w:val="0033355D"/>
    <w:rsid w:val="00343547"/>
    <w:rsid w:val="003761D1"/>
    <w:rsid w:val="003769E6"/>
    <w:rsid w:val="003A15B0"/>
    <w:rsid w:val="003B639D"/>
    <w:rsid w:val="003D27B9"/>
    <w:rsid w:val="003D3B98"/>
    <w:rsid w:val="003D5DA7"/>
    <w:rsid w:val="003E1A79"/>
    <w:rsid w:val="003E255E"/>
    <w:rsid w:val="003F0E90"/>
    <w:rsid w:val="0040383C"/>
    <w:rsid w:val="004051AD"/>
    <w:rsid w:val="0040756E"/>
    <w:rsid w:val="00410015"/>
    <w:rsid w:val="00411B20"/>
    <w:rsid w:val="00417478"/>
    <w:rsid w:val="0044170E"/>
    <w:rsid w:val="004660DE"/>
    <w:rsid w:val="00467CE0"/>
    <w:rsid w:val="00491161"/>
    <w:rsid w:val="00496C5F"/>
    <w:rsid w:val="004B05C6"/>
    <w:rsid w:val="004C67F6"/>
    <w:rsid w:val="004D06CB"/>
    <w:rsid w:val="004E1DB3"/>
    <w:rsid w:val="004E21A7"/>
    <w:rsid w:val="004E2A98"/>
    <w:rsid w:val="004E30A9"/>
    <w:rsid w:val="004E577E"/>
    <w:rsid w:val="004E76C4"/>
    <w:rsid w:val="004F35D6"/>
    <w:rsid w:val="00501708"/>
    <w:rsid w:val="005079E4"/>
    <w:rsid w:val="00510013"/>
    <w:rsid w:val="005123CF"/>
    <w:rsid w:val="00515B08"/>
    <w:rsid w:val="005248E6"/>
    <w:rsid w:val="00527D9A"/>
    <w:rsid w:val="00534706"/>
    <w:rsid w:val="00537FB0"/>
    <w:rsid w:val="0055789E"/>
    <w:rsid w:val="0056038C"/>
    <w:rsid w:val="00563EA5"/>
    <w:rsid w:val="00570758"/>
    <w:rsid w:val="00580225"/>
    <w:rsid w:val="00584D7F"/>
    <w:rsid w:val="00592B2F"/>
    <w:rsid w:val="005B2218"/>
    <w:rsid w:val="005C540D"/>
    <w:rsid w:val="005E2035"/>
    <w:rsid w:val="005E6724"/>
    <w:rsid w:val="00623550"/>
    <w:rsid w:val="00623EF0"/>
    <w:rsid w:val="00656010"/>
    <w:rsid w:val="00670609"/>
    <w:rsid w:val="00670F24"/>
    <w:rsid w:val="0067286A"/>
    <w:rsid w:val="006746A2"/>
    <w:rsid w:val="006A6A3D"/>
    <w:rsid w:val="006B4E09"/>
    <w:rsid w:val="006C0742"/>
    <w:rsid w:val="006C7E9B"/>
    <w:rsid w:val="006E4551"/>
    <w:rsid w:val="007071AA"/>
    <w:rsid w:val="00707C99"/>
    <w:rsid w:val="0071577C"/>
    <w:rsid w:val="00737C69"/>
    <w:rsid w:val="00741829"/>
    <w:rsid w:val="007472E7"/>
    <w:rsid w:val="00752BE6"/>
    <w:rsid w:val="00770E26"/>
    <w:rsid w:val="007749D5"/>
    <w:rsid w:val="00775506"/>
    <w:rsid w:val="007802E1"/>
    <w:rsid w:val="007A4D9D"/>
    <w:rsid w:val="007B3784"/>
    <w:rsid w:val="007C7FD4"/>
    <w:rsid w:val="007E5237"/>
    <w:rsid w:val="007F1BB1"/>
    <w:rsid w:val="007F1E41"/>
    <w:rsid w:val="007F1F51"/>
    <w:rsid w:val="007F79C0"/>
    <w:rsid w:val="00800F75"/>
    <w:rsid w:val="008218E3"/>
    <w:rsid w:val="00823C1C"/>
    <w:rsid w:val="00825E37"/>
    <w:rsid w:val="008327FA"/>
    <w:rsid w:val="008351AD"/>
    <w:rsid w:val="00837F68"/>
    <w:rsid w:val="00840EB3"/>
    <w:rsid w:val="00852D27"/>
    <w:rsid w:val="00870F03"/>
    <w:rsid w:val="008A31E6"/>
    <w:rsid w:val="008C1395"/>
    <w:rsid w:val="008C7D94"/>
    <w:rsid w:val="008D6230"/>
    <w:rsid w:val="008D7D1B"/>
    <w:rsid w:val="008E1E0B"/>
    <w:rsid w:val="008E49C8"/>
    <w:rsid w:val="008E68CE"/>
    <w:rsid w:val="0091185E"/>
    <w:rsid w:val="009143AF"/>
    <w:rsid w:val="00922A51"/>
    <w:rsid w:val="009248B3"/>
    <w:rsid w:val="00930FA6"/>
    <w:rsid w:val="00937DD5"/>
    <w:rsid w:val="0094038F"/>
    <w:rsid w:val="0095288E"/>
    <w:rsid w:val="00957281"/>
    <w:rsid w:val="00961059"/>
    <w:rsid w:val="00973CD7"/>
    <w:rsid w:val="009758F8"/>
    <w:rsid w:val="009820C1"/>
    <w:rsid w:val="00987A45"/>
    <w:rsid w:val="009A48D2"/>
    <w:rsid w:val="009A713A"/>
    <w:rsid w:val="009B1BD0"/>
    <w:rsid w:val="009C1072"/>
    <w:rsid w:val="009D044E"/>
    <w:rsid w:val="009E1E70"/>
    <w:rsid w:val="00A009FB"/>
    <w:rsid w:val="00A00CAE"/>
    <w:rsid w:val="00A22378"/>
    <w:rsid w:val="00A2487B"/>
    <w:rsid w:val="00A24D9F"/>
    <w:rsid w:val="00A31E2C"/>
    <w:rsid w:val="00A35565"/>
    <w:rsid w:val="00A3755A"/>
    <w:rsid w:val="00A434CE"/>
    <w:rsid w:val="00A5048D"/>
    <w:rsid w:val="00A608EE"/>
    <w:rsid w:val="00A6217A"/>
    <w:rsid w:val="00A62FD5"/>
    <w:rsid w:val="00A64D49"/>
    <w:rsid w:val="00A6633E"/>
    <w:rsid w:val="00A92729"/>
    <w:rsid w:val="00A92830"/>
    <w:rsid w:val="00A9753C"/>
    <w:rsid w:val="00AA34AC"/>
    <w:rsid w:val="00AE3B97"/>
    <w:rsid w:val="00AF2537"/>
    <w:rsid w:val="00AF7A78"/>
    <w:rsid w:val="00B14223"/>
    <w:rsid w:val="00B173F3"/>
    <w:rsid w:val="00B21BB7"/>
    <w:rsid w:val="00B25300"/>
    <w:rsid w:val="00B25FB5"/>
    <w:rsid w:val="00B27001"/>
    <w:rsid w:val="00B43BCF"/>
    <w:rsid w:val="00B477E4"/>
    <w:rsid w:val="00B54FF2"/>
    <w:rsid w:val="00B57332"/>
    <w:rsid w:val="00B60D04"/>
    <w:rsid w:val="00B74F40"/>
    <w:rsid w:val="00B85C10"/>
    <w:rsid w:val="00BC4711"/>
    <w:rsid w:val="00BD6D62"/>
    <w:rsid w:val="00BD6DB5"/>
    <w:rsid w:val="00BF0C6E"/>
    <w:rsid w:val="00BF66A2"/>
    <w:rsid w:val="00C03F9E"/>
    <w:rsid w:val="00C13113"/>
    <w:rsid w:val="00C27ACC"/>
    <w:rsid w:val="00C33493"/>
    <w:rsid w:val="00C3712A"/>
    <w:rsid w:val="00C47C13"/>
    <w:rsid w:val="00C5356E"/>
    <w:rsid w:val="00C57855"/>
    <w:rsid w:val="00C63E56"/>
    <w:rsid w:val="00C7024C"/>
    <w:rsid w:val="00C713DF"/>
    <w:rsid w:val="00C86019"/>
    <w:rsid w:val="00C91513"/>
    <w:rsid w:val="00C91861"/>
    <w:rsid w:val="00C950CC"/>
    <w:rsid w:val="00C959F6"/>
    <w:rsid w:val="00C95C24"/>
    <w:rsid w:val="00CA495B"/>
    <w:rsid w:val="00CB1F91"/>
    <w:rsid w:val="00CB2144"/>
    <w:rsid w:val="00CB220C"/>
    <w:rsid w:val="00CB4AC6"/>
    <w:rsid w:val="00CB64D7"/>
    <w:rsid w:val="00CC0420"/>
    <w:rsid w:val="00CC77E9"/>
    <w:rsid w:val="00CD4131"/>
    <w:rsid w:val="00CD7D98"/>
    <w:rsid w:val="00CE0A25"/>
    <w:rsid w:val="00CE19AC"/>
    <w:rsid w:val="00CE1D6E"/>
    <w:rsid w:val="00CF6093"/>
    <w:rsid w:val="00D000F6"/>
    <w:rsid w:val="00D00490"/>
    <w:rsid w:val="00D071DB"/>
    <w:rsid w:val="00D24FA9"/>
    <w:rsid w:val="00D31A07"/>
    <w:rsid w:val="00D34FBB"/>
    <w:rsid w:val="00D415A5"/>
    <w:rsid w:val="00D424BD"/>
    <w:rsid w:val="00D44954"/>
    <w:rsid w:val="00D611A6"/>
    <w:rsid w:val="00D624CF"/>
    <w:rsid w:val="00D81E85"/>
    <w:rsid w:val="00D943C5"/>
    <w:rsid w:val="00D955B1"/>
    <w:rsid w:val="00D966C4"/>
    <w:rsid w:val="00D96CCE"/>
    <w:rsid w:val="00DB5A4C"/>
    <w:rsid w:val="00DD052E"/>
    <w:rsid w:val="00DE2C83"/>
    <w:rsid w:val="00E00449"/>
    <w:rsid w:val="00E04D03"/>
    <w:rsid w:val="00E12234"/>
    <w:rsid w:val="00E13E79"/>
    <w:rsid w:val="00E16CB4"/>
    <w:rsid w:val="00E2168F"/>
    <w:rsid w:val="00E251FF"/>
    <w:rsid w:val="00E4234E"/>
    <w:rsid w:val="00E5371E"/>
    <w:rsid w:val="00E57F19"/>
    <w:rsid w:val="00E66D65"/>
    <w:rsid w:val="00E732FA"/>
    <w:rsid w:val="00EC18FF"/>
    <w:rsid w:val="00EC590C"/>
    <w:rsid w:val="00ED1A2F"/>
    <w:rsid w:val="00EE31F7"/>
    <w:rsid w:val="00EE34F0"/>
    <w:rsid w:val="00EF2F15"/>
    <w:rsid w:val="00EF503F"/>
    <w:rsid w:val="00F07B91"/>
    <w:rsid w:val="00F104A7"/>
    <w:rsid w:val="00F347C7"/>
    <w:rsid w:val="00F4110B"/>
    <w:rsid w:val="00F459EC"/>
    <w:rsid w:val="00F467D6"/>
    <w:rsid w:val="00F57634"/>
    <w:rsid w:val="00F65A70"/>
    <w:rsid w:val="00F85468"/>
    <w:rsid w:val="00F94B12"/>
    <w:rsid w:val="00FB20BB"/>
    <w:rsid w:val="00FB43EE"/>
    <w:rsid w:val="00FD2B7E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9E674"/>
  <w15:docId w15:val="{8BD5083A-7F98-4DF6-BD0C-12EF4BB6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1E70"/>
  </w:style>
  <w:style w:type="paragraph" w:styleId="Nadpis5">
    <w:name w:val="heading 5"/>
    <w:aliases w:val="Nadpis_level6"/>
    <w:basedOn w:val="Normln"/>
    <w:next w:val="Normln"/>
    <w:link w:val="Nadpis5Char"/>
    <w:qFormat/>
    <w:rsid w:val="001F6108"/>
    <w:pPr>
      <w:spacing w:before="240" w:after="60" w:line="240" w:lineRule="auto"/>
      <w:jc w:val="left"/>
      <w:outlineLvl w:val="4"/>
    </w:pPr>
    <w:rPr>
      <w:rFonts w:ascii="Arial Narrow" w:eastAsia="Times New Roman" w:hAnsi="Arial Narrow" w:cs="Times New Roman"/>
      <w:bCs/>
      <w:iCs/>
      <w:sz w:val="20"/>
      <w:szCs w:val="26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Hel5"/>
    <w:basedOn w:val="Normln"/>
    <w:autoRedefine/>
    <w:qFormat/>
    <w:rsid w:val="00C33493"/>
    <w:pPr>
      <w:tabs>
        <w:tab w:val="left" w:pos="7275"/>
      </w:tabs>
      <w:suppressAutoHyphens/>
      <w:autoSpaceDE w:val="0"/>
      <w:spacing w:line="240" w:lineRule="auto"/>
    </w:pPr>
    <w:rPr>
      <w:rFonts w:ascii="Arial Narrow" w:eastAsia="Calibri" w:hAnsi="Arial Narrow" w:cs="TimesNewRomanPSMT"/>
      <w:bCs/>
      <w:sz w:val="28"/>
      <w:szCs w:val="32"/>
      <w:lang w:eastAsia="zh-CN"/>
    </w:rPr>
  </w:style>
  <w:style w:type="character" w:customStyle="1" w:styleId="Nadpis5Char">
    <w:name w:val="Nadpis 5 Char"/>
    <w:aliases w:val="Nadpis_level6 Char"/>
    <w:basedOn w:val="Standardnpsmoodstavce"/>
    <w:link w:val="Nadpis5"/>
    <w:rsid w:val="001F6108"/>
    <w:rPr>
      <w:rFonts w:ascii="Arial Narrow" w:eastAsia="Times New Roman" w:hAnsi="Arial Narrow" w:cs="Times New Roman"/>
      <w:bCs/>
      <w:iCs/>
      <w:sz w:val="20"/>
      <w:szCs w:val="26"/>
      <w:u w:val="single"/>
      <w:lang w:eastAsia="cs-CZ"/>
    </w:rPr>
  </w:style>
  <w:style w:type="paragraph" w:customStyle="1" w:styleId="Styl5">
    <w:name w:val="Styl5"/>
    <w:basedOn w:val="Normln"/>
    <w:rsid w:val="00563EA5"/>
    <w:pPr>
      <w:keepNext/>
      <w:pageBreakBefore/>
      <w:suppressAutoHyphens/>
      <w:spacing w:before="0" w:line="276" w:lineRule="auto"/>
      <w:jc w:val="left"/>
      <w:outlineLvl w:val="0"/>
    </w:pPr>
    <w:rPr>
      <w:rFonts w:ascii="Arial Narrow" w:eastAsia="Calibri" w:hAnsi="Arial Narrow" w:cs="Arial Narrow"/>
      <w:b/>
      <w:bCs/>
      <w:color w:val="943634"/>
      <w:sz w:val="36"/>
      <w:szCs w:val="36"/>
      <w:lang w:eastAsia="ar-SA"/>
    </w:rPr>
  </w:style>
  <w:style w:type="paragraph" w:customStyle="1" w:styleId="Styl6">
    <w:name w:val="Styl6"/>
    <w:basedOn w:val="Normln"/>
    <w:rsid w:val="00563EA5"/>
    <w:pPr>
      <w:keepNext/>
      <w:autoSpaceDE w:val="0"/>
      <w:spacing w:before="0" w:line="240" w:lineRule="auto"/>
      <w:outlineLvl w:val="1"/>
    </w:pPr>
    <w:rPr>
      <w:rFonts w:ascii="Arial Narrow" w:eastAsia="Times New Roman" w:hAnsi="Arial Narrow" w:cs="Arial Narrow"/>
      <w:b/>
      <w:bCs/>
      <w:color w:val="943634"/>
      <w:sz w:val="28"/>
      <w:szCs w:val="28"/>
      <w:lang w:eastAsia="cs-CZ"/>
    </w:rPr>
  </w:style>
  <w:style w:type="paragraph" w:customStyle="1" w:styleId="Styl7">
    <w:name w:val="Styl7"/>
    <w:basedOn w:val="Normln"/>
    <w:rsid w:val="00563EA5"/>
    <w:pPr>
      <w:numPr>
        <w:numId w:val="3"/>
      </w:numPr>
      <w:autoSpaceDE w:val="0"/>
      <w:spacing w:before="0" w:line="240" w:lineRule="auto"/>
      <w:outlineLvl w:val="2"/>
    </w:pPr>
    <w:rPr>
      <w:rFonts w:ascii="Arial Narrow" w:eastAsia="Times New Roman" w:hAnsi="Arial Narrow" w:cs="Arial Narrow"/>
      <w:bCs/>
      <w:sz w:val="32"/>
      <w:szCs w:val="32"/>
      <w:lang w:eastAsia="cs-CZ"/>
    </w:rPr>
  </w:style>
  <w:style w:type="paragraph" w:styleId="Odstavecseseznamem">
    <w:name w:val="List Paragraph"/>
    <w:basedOn w:val="Normln"/>
    <w:uiPriority w:val="34"/>
    <w:qFormat/>
    <w:rsid w:val="00CB4AC6"/>
    <w:pPr>
      <w:spacing w:before="0" w:line="240" w:lineRule="auto"/>
      <w:ind w:left="720"/>
      <w:contextualSpacing/>
      <w:jc w:val="left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163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163F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C67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7F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7F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67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67F6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D943C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943C5"/>
  </w:style>
  <w:style w:type="paragraph" w:styleId="Zpat">
    <w:name w:val="footer"/>
    <w:basedOn w:val="Normln"/>
    <w:link w:val="ZpatChar"/>
    <w:uiPriority w:val="99"/>
    <w:unhideWhenUsed/>
    <w:rsid w:val="00D943C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4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4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741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salaba</dc:creator>
  <cp:lastModifiedBy>Zdeněk Kindl</cp:lastModifiedBy>
  <cp:revision>4</cp:revision>
  <cp:lastPrinted>2021-01-21T09:47:00Z</cp:lastPrinted>
  <dcterms:created xsi:type="dcterms:W3CDTF">2021-11-30T11:58:00Z</dcterms:created>
  <dcterms:modified xsi:type="dcterms:W3CDTF">2021-11-30T12:18:00Z</dcterms:modified>
</cp:coreProperties>
</file>