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F210" w14:textId="3EDB426E" w:rsidR="005F6773" w:rsidRPr="00032798" w:rsidRDefault="005F6773" w:rsidP="005F6773">
      <w:pPr>
        <w:jc w:val="center"/>
        <w:rPr>
          <w:b/>
          <w:bCs/>
          <w:sz w:val="32"/>
          <w:szCs w:val="32"/>
        </w:rPr>
      </w:pPr>
      <w:bookmarkStart w:id="0" w:name="_Hlk77056970"/>
      <w:r w:rsidRPr="00032798">
        <w:rPr>
          <w:b/>
          <w:bCs/>
          <w:sz w:val="32"/>
          <w:szCs w:val="32"/>
        </w:rPr>
        <w:t>Organizace zabezpečení požární ochrany – pokyn pro provozovatele činností</w:t>
      </w:r>
      <w:r w:rsidR="00032798" w:rsidRPr="00032798">
        <w:rPr>
          <w:b/>
          <w:bCs/>
          <w:sz w:val="32"/>
          <w:szCs w:val="32"/>
        </w:rPr>
        <w:t xml:space="preserve"> v prodejních stáncích či jiných prodejních prostorech nebo zařízeních včetně pouťových atrakcí</w:t>
      </w:r>
      <w:r w:rsidRPr="00032798">
        <w:rPr>
          <w:b/>
          <w:bCs/>
          <w:sz w:val="32"/>
          <w:szCs w:val="32"/>
        </w:rPr>
        <w:t>.</w:t>
      </w:r>
    </w:p>
    <w:bookmarkEnd w:id="0"/>
    <w:p w14:paraId="4794A5E7" w14:textId="0E660C0B" w:rsidR="005F6773" w:rsidRPr="00C01191" w:rsidRDefault="005F6773" w:rsidP="00032798">
      <w:pPr>
        <w:spacing w:before="240" w:line="276" w:lineRule="auto"/>
        <w:jc w:val="both"/>
        <w:rPr>
          <w:sz w:val="24"/>
          <w:szCs w:val="24"/>
        </w:rPr>
      </w:pPr>
      <w:r w:rsidRPr="00C01191">
        <w:rPr>
          <w:b/>
          <w:bCs/>
          <w:sz w:val="24"/>
          <w:szCs w:val="24"/>
        </w:rPr>
        <w:t>Název akce:</w:t>
      </w:r>
      <w:r w:rsidRPr="00C01191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22294C">
        <w:rPr>
          <w:sz w:val="24"/>
          <w:szCs w:val="24"/>
        </w:rPr>
        <w:tab/>
      </w:r>
      <w:r w:rsidR="0022294C">
        <w:rPr>
          <w:sz w:val="24"/>
          <w:szCs w:val="24"/>
        </w:rPr>
        <w:tab/>
      </w:r>
      <w:r w:rsidR="0022294C" w:rsidRPr="0022294C">
        <w:rPr>
          <w:sz w:val="24"/>
          <w:szCs w:val="24"/>
        </w:rPr>
        <w:t>Skalecká pouť 2022</w:t>
      </w:r>
      <w:r w:rsidR="00C01191">
        <w:rPr>
          <w:sz w:val="24"/>
          <w:szCs w:val="24"/>
        </w:rPr>
        <w:tab/>
      </w:r>
      <w:r w:rsidR="00C01191">
        <w:rPr>
          <w:sz w:val="24"/>
          <w:szCs w:val="24"/>
        </w:rPr>
        <w:tab/>
      </w:r>
    </w:p>
    <w:p w14:paraId="11D28096" w14:textId="3690517E" w:rsidR="005F6773" w:rsidRPr="005F6773" w:rsidRDefault="005F6773" w:rsidP="005F6773">
      <w:pPr>
        <w:spacing w:line="276" w:lineRule="auto"/>
        <w:jc w:val="both"/>
        <w:rPr>
          <w:sz w:val="24"/>
          <w:szCs w:val="24"/>
        </w:rPr>
      </w:pPr>
      <w:r w:rsidRPr="005F6773">
        <w:rPr>
          <w:b/>
          <w:bCs/>
          <w:sz w:val="24"/>
          <w:szCs w:val="24"/>
        </w:rPr>
        <w:t>Datum konání akce:</w:t>
      </w:r>
      <w:r w:rsidRPr="005F6773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C01191">
        <w:rPr>
          <w:sz w:val="24"/>
          <w:szCs w:val="24"/>
        </w:rPr>
        <w:tab/>
      </w:r>
      <w:r w:rsidR="00032798">
        <w:rPr>
          <w:sz w:val="24"/>
          <w:szCs w:val="24"/>
        </w:rPr>
        <w:t>22–24</w:t>
      </w:r>
      <w:r w:rsidR="0022294C">
        <w:rPr>
          <w:sz w:val="24"/>
          <w:szCs w:val="24"/>
        </w:rPr>
        <w:t>. července 2022</w:t>
      </w:r>
    </w:p>
    <w:p w14:paraId="1634575B" w14:textId="073A83E7" w:rsidR="005F6773" w:rsidRPr="005F6773" w:rsidRDefault="005F6773" w:rsidP="005F6773">
      <w:pPr>
        <w:spacing w:line="276" w:lineRule="auto"/>
        <w:jc w:val="both"/>
        <w:rPr>
          <w:sz w:val="24"/>
          <w:szCs w:val="24"/>
        </w:rPr>
      </w:pPr>
      <w:r w:rsidRPr="005F6773">
        <w:rPr>
          <w:b/>
          <w:bCs/>
          <w:sz w:val="24"/>
          <w:szCs w:val="24"/>
        </w:rPr>
        <w:t>Pořadatel akce:</w:t>
      </w:r>
      <w:r w:rsidRPr="005F6773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C01191">
        <w:rPr>
          <w:sz w:val="24"/>
          <w:szCs w:val="24"/>
        </w:rPr>
        <w:tab/>
      </w:r>
      <w:r w:rsidR="00C01191">
        <w:rPr>
          <w:rFonts w:ascii="Segoe UI" w:hAnsi="Segoe UI" w:cs="Segoe UI"/>
          <w:b/>
          <w:bCs/>
          <w:color w:val="333333"/>
          <w:shd w:val="clear" w:color="auto" w:fill="FFFFFF"/>
        </w:rPr>
        <w:t>Město Mníšek pod Brdy</w:t>
      </w:r>
      <w:r w:rsidR="006F4068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           </w:t>
      </w:r>
      <w:r w:rsidR="00C01191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</w:t>
      </w:r>
      <w:r w:rsidR="006F4068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       </w:t>
      </w:r>
      <w:hyperlink r:id="rId7" w:history="1">
        <w:r w:rsidR="006F4068" w:rsidRPr="0058503B">
          <w:rPr>
            <w:rStyle w:val="Hypertextovodkaz"/>
            <w:rFonts w:ascii="Segoe UI" w:hAnsi="Segoe UI" w:cs="Segoe UI"/>
            <w:b/>
            <w:bCs/>
          </w:rPr>
          <w:t>jana.duskova@mnisek.cz</w:t>
        </w:r>
      </w:hyperlink>
    </w:p>
    <w:p w14:paraId="37998287" w14:textId="17313808" w:rsidR="005F6773" w:rsidRPr="005F6773" w:rsidRDefault="005F6773" w:rsidP="005F6773">
      <w:p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b/>
          <w:bCs/>
          <w:sz w:val="24"/>
          <w:szCs w:val="24"/>
        </w:rPr>
        <w:t xml:space="preserve">Stanovení podmínek požární bezpečnosti k zamezení vzniku a šíření požáru. </w:t>
      </w:r>
    </w:p>
    <w:p w14:paraId="24E3D713" w14:textId="4041081E" w:rsidR="00CF532B" w:rsidRPr="005F6773" w:rsidRDefault="005F6773" w:rsidP="005F6773">
      <w:pPr>
        <w:spacing w:line="276" w:lineRule="auto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Provozovatel </w:t>
      </w:r>
      <w:r w:rsidR="000E4FDF" w:rsidRPr="005F6773">
        <w:rPr>
          <w:sz w:val="24"/>
          <w:szCs w:val="24"/>
        </w:rPr>
        <w:t>prodejní</w:t>
      </w:r>
      <w:r w:rsidR="000E4FDF">
        <w:rPr>
          <w:sz w:val="24"/>
          <w:szCs w:val="24"/>
        </w:rPr>
        <w:t>ho</w:t>
      </w:r>
      <w:r w:rsidR="000E4FDF" w:rsidRPr="005F6773">
        <w:rPr>
          <w:sz w:val="24"/>
          <w:szCs w:val="24"/>
        </w:rPr>
        <w:t xml:space="preserve"> stán</w:t>
      </w:r>
      <w:r w:rsidR="000E4FDF">
        <w:rPr>
          <w:sz w:val="24"/>
          <w:szCs w:val="24"/>
        </w:rPr>
        <w:t>ku</w:t>
      </w:r>
      <w:r w:rsidR="000E4FDF" w:rsidRPr="005F6773">
        <w:rPr>
          <w:sz w:val="24"/>
          <w:szCs w:val="24"/>
        </w:rPr>
        <w:t xml:space="preserve">, </w:t>
      </w:r>
      <w:bookmarkStart w:id="1" w:name="_Hlk95724924"/>
      <w:r w:rsidR="000E4FDF" w:rsidRPr="005F6773">
        <w:rPr>
          <w:sz w:val="24"/>
          <w:szCs w:val="24"/>
        </w:rPr>
        <w:t>či jiný</w:t>
      </w:r>
      <w:r w:rsidR="00032798">
        <w:rPr>
          <w:sz w:val="24"/>
          <w:szCs w:val="24"/>
        </w:rPr>
        <w:t>ch</w:t>
      </w:r>
      <w:r w:rsidR="000E4FDF" w:rsidRPr="005F6773">
        <w:rPr>
          <w:sz w:val="24"/>
          <w:szCs w:val="24"/>
        </w:rPr>
        <w:t xml:space="preserve"> </w:t>
      </w:r>
      <w:r w:rsidR="000E4FDF" w:rsidRPr="00CC5946">
        <w:rPr>
          <w:sz w:val="24"/>
          <w:szCs w:val="24"/>
        </w:rPr>
        <w:t>prodejní</w:t>
      </w:r>
      <w:r w:rsidR="00032798">
        <w:rPr>
          <w:sz w:val="24"/>
          <w:szCs w:val="24"/>
        </w:rPr>
        <w:t>ch</w:t>
      </w:r>
      <w:r w:rsidR="000E4FDF">
        <w:rPr>
          <w:sz w:val="24"/>
          <w:szCs w:val="24"/>
        </w:rPr>
        <w:t xml:space="preserve"> prostor</w:t>
      </w:r>
      <w:r w:rsidR="000E4FDF" w:rsidRPr="00CC5946">
        <w:rPr>
          <w:sz w:val="24"/>
          <w:szCs w:val="24"/>
        </w:rPr>
        <w:t xml:space="preserve"> </w:t>
      </w:r>
      <w:r w:rsidR="000E4FDF">
        <w:rPr>
          <w:sz w:val="24"/>
          <w:szCs w:val="24"/>
        </w:rPr>
        <w:t xml:space="preserve">nebo </w:t>
      </w:r>
      <w:r w:rsidR="000E4FDF" w:rsidRPr="00CC5946">
        <w:rPr>
          <w:sz w:val="24"/>
          <w:szCs w:val="24"/>
        </w:rPr>
        <w:t>zařízení</w:t>
      </w:r>
      <w:r w:rsidR="00032798">
        <w:rPr>
          <w:sz w:val="24"/>
          <w:szCs w:val="24"/>
        </w:rPr>
        <w:t xml:space="preserve"> včetně pouťových atrakcí</w:t>
      </w:r>
      <w:bookmarkEnd w:id="1"/>
      <w:r w:rsidR="000E4FDF">
        <w:rPr>
          <w:sz w:val="24"/>
          <w:szCs w:val="24"/>
        </w:rPr>
        <w:t xml:space="preserve"> </w:t>
      </w:r>
      <w:r w:rsidR="00252974">
        <w:rPr>
          <w:sz w:val="24"/>
          <w:szCs w:val="24"/>
        </w:rPr>
        <w:t>(</w:t>
      </w:r>
      <w:r w:rsidR="000E4FDF">
        <w:rPr>
          <w:sz w:val="24"/>
          <w:szCs w:val="24"/>
        </w:rPr>
        <w:t xml:space="preserve">dále jen „provozovatel </w:t>
      </w:r>
      <w:r w:rsidRPr="005F6773">
        <w:rPr>
          <w:sz w:val="24"/>
          <w:szCs w:val="24"/>
        </w:rPr>
        <w:t>činností</w:t>
      </w:r>
      <w:r w:rsidR="000E4FDF">
        <w:rPr>
          <w:sz w:val="24"/>
          <w:szCs w:val="24"/>
        </w:rPr>
        <w:t>“</w:t>
      </w:r>
      <w:r w:rsidR="00252974">
        <w:rPr>
          <w:sz w:val="24"/>
          <w:szCs w:val="24"/>
        </w:rPr>
        <w:t>)</w:t>
      </w:r>
      <w:r w:rsidRPr="005F6773">
        <w:rPr>
          <w:sz w:val="24"/>
          <w:szCs w:val="24"/>
        </w:rPr>
        <w:t xml:space="preserve"> zodpovídá za požární bezpečnost v místě jejího provozování. Zavazuje se dodržovat všechna opatření a pokyny vydané pořadatelem k zajištění požární bezpečnosti v celém prostoru konaní akce. Je povinen dodržovat podmínky nebo návody vztahující se k požární bezpečnosti používaných zařízení, činností nebo výrobků.</w:t>
      </w:r>
    </w:p>
    <w:p w14:paraId="6F722D05" w14:textId="665CC47A" w:rsidR="005F6773" w:rsidRPr="005F6773" w:rsidRDefault="005F6773" w:rsidP="005F6773">
      <w:p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b/>
          <w:bCs/>
          <w:sz w:val="24"/>
          <w:szCs w:val="24"/>
        </w:rPr>
        <w:t>Provozovatelé činností jsou povinni zejména:</w:t>
      </w:r>
    </w:p>
    <w:p w14:paraId="26FA0D7A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počínat si tak, aby nezavdali příčinu ke vzniku požáru zejména při používání tepelných, elektrických, plynových a jiných spotřebičů a při skladování a používání hořlavých nebo požárně nebezpečných látek, manipulaci s nimi nebo s otevřeným ohněm či jiným zdrojem zapálení a neohrozili život a zdraví osob, zvířata a majetek, </w:t>
      </w:r>
    </w:p>
    <w:p w14:paraId="40B0FB38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mít zřetelně označeno číslo tísňového volání (ohlašovny požárů), popřípadě uvedeny další pokyny ke způsobu ohlášení požáru, </w:t>
      </w:r>
    </w:p>
    <w:p w14:paraId="15D0E271" w14:textId="0EC7EB63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>udržovat trvale volné průjezdné šířky příjezdových komunikací nejméně 3 m, k</w:t>
      </w:r>
      <w:r w:rsidR="000E4FDF">
        <w:rPr>
          <w:sz w:val="24"/>
          <w:szCs w:val="24"/>
        </w:rPr>
        <w:t>e</w:t>
      </w:r>
      <w:r w:rsidRPr="005F6773">
        <w:rPr>
          <w:sz w:val="24"/>
          <w:szCs w:val="24"/>
        </w:rPr>
        <w:t xml:space="preserve"> stánkům a ostatním objektům, k nástupním plochám pro požární techniku a ke zdrojům vody určeným k hašení požárů a vytvářet další podmínky pro hašení požárů a pro záchranné práce ve smyslu ustanovení § 11 vyhlášky č. 246/2001 Sb., o požární prevenci ve znění pozdějších předpisů, </w:t>
      </w:r>
    </w:p>
    <w:p w14:paraId="4F2917C4" w14:textId="644FC404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vybavit stánek </w:t>
      </w:r>
      <w:r w:rsidR="00775264">
        <w:rPr>
          <w:sz w:val="24"/>
          <w:szCs w:val="24"/>
        </w:rPr>
        <w:t xml:space="preserve">či zařízení </w:t>
      </w:r>
      <w:r w:rsidRPr="005F6773">
        <w:rPr>
          <w:sz w:val="24"/>
          <w:szCs w:val="24"/>
        </w:rPr>
        <w:t>alespoň jedním přenosným hasicím přístrojem (</w:t>
      </w:r>
      <w:r w:rsidR="000E4FDF">
        <w:rPr>
          <w:sz w:val="24"/>
          <w:szCs w:val="24"/>
        </w:rPr>
        <w:t xml:space="preserve">dále jen </w:t>
      </w:r>
      <w:r w:rsidRPr="005F6773">
        <w:rPr>
          <w:sz w:val="24"/>
          <w:szCs w:val="24"/>
        </w:rPr>
        <w:t xml:space="preserve">PHP) vodním nebo </w:t>
      </w:r>
      <w:r w:rsidRPr="000E4FDF">
        <w:rPr>
          <w:b/>
          <w:bCs/>
          <w:sz w:val="24"/>
          <w:szCs w:val="24"/>
        </w:rPr>
        <w:t>pěnovým s hasicí schopností nejméně 13A</w:t>
      </w:r>
      <w:r w:rsidRPr="005F6773">
        <w:rPr>
          <w:sz w:val="24"/>
          <w:szCs w:val="24"/>
        </w:rPr>
        <w:t xml:space="preserve"> nebo přenosným hasicím přístrojem </w:t>
      </w:r>
      <w:r w:rsidRPr="000E4FDF">
        <w:rPr>
          <w:b/>
          <w:bCs/>
          <w:sz w:val="24"/>
          <w:szCs w:val="24"/>
        </w:rPr>
        <w:t>práškovým s hasicí schopností nejméně 21A</w:t>
      </w:r>
      <w:r w:rsidRPr="005F6773">
        <w:rPr>
          <w:sz w:val="24"/>
          <w:szCs w:val="24"/>
        </w:rPr>
        <w:t xml:space="preserve">; volba druhu a typu PHP se provede v závislosti na charakteru předpokládaného požáru, vyskytujících se hořlavých látkách nebo provozované činnosti; umístění PHP musí umožňovat jejich snadné a rychlé použití a musí být vhodným způsobem zajištěny proti pádu, či převrhnutí; zajistit předepsanou kontrolu provozuschopnosti PHP, </w:t>
      </w:r>
    </w:p>
    <w:p w14:paraId="4AB27D7C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dodržovat bezpečné vzdálenosti spotřebičů od hořlavých hmot ve smyslu ustanovení Přílohy č. 8 vyhlášky č. 23/2008 Sb., o technických podmínkách požární ochrany staveb, ve znění pozdějších předpisů, </w:t>
      </w:r>
    </w:p>
    <w:p w14:paraId="0A8735F3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přerušit nebo ukončit provozovanou činnost, pokud touto hrozí bezprostřední nebezpečí vzniku požáru a tuto skutečnost bezodkladně oznámit pořadateli akce nebo preventivní požární hlídce (PPH), </w:t>
      </w:r>
    </w:p>
    <w:p w14:paraId="1D96BE6A" w14:textId="5BD309F9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lastRenderedPageBreak/>
        <w:t xml:space="preserve">po vyhlášení požárního poplachu provést vlastní evakuaci z prostor stánkového prodeje </w:t>
      </w:r>
      <w:r w:rsidR="00775264">
        <w:rPr>
          <w:sz w:val="24"/>
          <w:szCs w:val="24"/>
        </w:rPr>
        <w:t xml:space="preserve">či atrakce </w:t>
      </w:r>
      <w:r w:rsidRPr="005F6773">
        <w:rPr>
          <w:sz w:val="24"/>
          <w:szCs w:val="24"/>
        </w:rPr>
        <w:t>(zachovat klid a rozvahu); zabezpečit (pokud je to možné) svá prodejní místa</w:t>
      </w:r>
      <w:r w:rsidR="00775264">
        <w:rPr>
          <w:sz w:val="24"/>
          <w:szCs w:val="24"/>
        </w:rPr>
        <w:t xml:space="preserve"> či atrakce</w:t>
      </w:r>
      <w:r w:rsidRPr="005F6773">
        <w:rPr>
          <w:sz w:val="24"/>
          <w:szCs w:val="24"/>
        </w:rPr>
        <w:t xml:space="preserve">, řídit se pokyny pořadatele akce, PPH či velitele zásahu; </w:t>
      </w:r>
    </w:p>
    <w:p w14:paraId="0FEA6E97" w14:textId="6A86E25E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F6773">
        <w:rPr>
          <w:sz w:val="24"/>
          <w:szCs w:val="24"/>
        </w:rPr>
        <w:t>zajistit, aby u všech používaných zařízení, u kterých tak stanovuje příslušný předpis, byla provedena revize, kontrola, zkoušky v rozsahu a způsobem stanoveným právními předpisy, normativními požadavky a průvodní dokumentací jeho výrobce a aby tato zařízení byla používána v souladů s průvodní dokumentací.</w:t>
      </w:r>
    </w:p>
    <w:p w14:paraId="18F17E5B" w14:textId="77777777" w:rsidR="005F6773" w:rsidRPr="0022294C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22294C">
        <w:rPr>
          <w:b/>
          <w:bCs/>
          <w:sz w:val="24"/>
          <w:szCs w:val="24"/>
        </w:rPr>
        <w:t>Další pokyny k zajištění požární bezpečnosti provozované akce</w:t>
      </w:r>
      <w:r w:rsidRPr="0022294C">
        <w:rPr>
          <w:sz w:val="24"/>
          <w:szCs w:val="24"/>
        </w:rPr>
        <w:t>.</w:t>
      </w:r>
    </w:p>
    <w:p w14:paraId="75192826" w14:textId="14F4082C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Všechna plynová zařízení a spotřebiče používané při stánkovém prodeji, zejména pro přípravu občerstvení, musí být užívána v souladu s průvodní dokumentací výrobce nebo návody k těmto zařízením a podléhají pravidelným revizím a kontrolám. Pro jeden spotřebič smí být zajištěna 1 provozní a 1 zásobní láhev propan-butanu. Při manipulacemi s tlakovými láhvemi musí být dodrženy základní bezpečnostní pokyny (láhve musí být skladovány ve svislé poloze, zajištěné proti pádu či převrhnutí, musí se chránit před nárazem a nesmí se házet ani kutálet po plášti). V jednom prodejním stánku s nápoji může být umístěna pouze 1 provozní a 1 zásobní tlaková láhev na oxid uhličitý. Za umístění tlakových lahví, provoz plynových spotřebičů a umístění informační tabulky o uložení tlakové láhve s názvem plynu v prodejních stáncích zodpovídají příslušní provozovatelé činností.</w:t>
      </w:r>
    </w:p>
    <w:p w14:paraId="70EA35B5" w14:textId="45997423" w:rsidR="005F6773" w:rsidRPr="00775264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775264">
        <w:rPr>
          <w:b/>
          <w:bCs/>
          <w:sz w:val="24"/>
          <w:szCs w:val="24"/>
        </w:rPr>
        <w:t xml:space="preserve">Všechny </w:t>
      </w:r>
      <w:bookmarkStart w:id="2" w:name="_Hlk67494378"/>
      <w:r w:rsidRPr="00775264">
        <w:rPr>
          <w:b/>
          <w:bCs/>
          <w:sz w:val="24"/>
          <w:szCs w:val="24"/>
        </w:rPr>
        <w:t xml:space="preserve">použité el. spotřebiče, prodlužovací kabely, </w:t>
      </w:r>
      <w:bookmarkStart w:id="3" w:name="_Hlk67494453"/>
      <w:r w:rsidRPr="00775264">
        <w:rPr>
          <w:b/>
          <w:bCs/>
          <w:sz w:val="24"/>
          <w:szCs w:val="24"/>
        </w:rPr>
        <w:t>přenosné rozvaděče atd</w:t>
      </w:r>
      <w:bookmarkEnd w:id="3"/>
      <w:r w:rsidRPr="00775264">
        <w:rPr>
          <w:b/>
          <w:bCs/>
          <w:sz w:val="24"/>
          <w:szCs w:val="24"/>
        </w:rPr>
        <w:t>. musí mít platnou revizi pro elektrická zařízení a musí být užívány v souladu s průvodní dokumentací výrobce nebo v souladu s návody k těmto zařízením.</w:t>
      </w:r>
      <w:bookmarkEnd w:id="2"/>
    </w:p>
    <w:p w14:paraId="2B093E94" w14:textId="5396F44E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bookmarkStart w:id="4" w:name="_Hlk67494743"/>
      <w:r w:rsidRPr="005F6773">
        <w:rPr>
          <w:sz w:val="24"/>
          <w:szCs w:val="24"/>
        </w:rPr>
        <w:t>Elektrocentrály musí být instalované a provozované v souladu s průvodní dokumentací (návodem), zejména zajištěny bezpečné vzdálenosti od okolních objektů</w:t>
      </w:r>
      <w:bookmarkEnd w:id="4"/>
      <w:r w:rsidRPr="005F6773">
        <w:rPr>
          <w:sz w:val="24"/>
          <w:szCs w:val="24"/>
        </w:rPr>
        <w:t>; nesmí být prováděno doplňování paliva během provozu a krátce po vypnutí; nesmí být prováděny žádné neoprávněné zásahy do elektroinstalace; kolem elektrocentrál zajistit bezpečný manipulační prostorů; případné úkapy PHM musí uživatel elektrocentrály likvidovat vhodným sor</w:t>
      </w:r>
      <w:r w:rsidR="00575DC7">
        <w:rPr>
          <w:sz w:val="24"/>
          <w:szCs w:val="24"/>
        </w:rPr>
        <w:t>p</w:t>
      </w:r>
      <w:r w:rsidRPr="005F6773">
        <w:rPr>
          <w:sz w:val="24"/>
          <w:szCs w:val="24"/>
        </w:rPr>
        <w:t xml:space="preserve">čním prostředkem (např. </w:t>
      </w:r>
      <w:proofErr w:type="spellStart"/>
      <w:r w:rsidRPr="005F6773">
        <w:rPr>
          <w:sz w:val="24"/>
          <w:szCs w:val="24"/>
        </w:rPr>
        <w:t>Vapexem</w:t>
      </w:r>
      <w:proofErr w:type="spellEnd"/>
      <w:r w:rsidRPr="005F6773">
        <w:rPr>
          <w:sz w:val="24"/>
          <w:szCs w:val="24"/>
        </w:rPr>
        <w:t>), který musí mít trvale k dispozici; znečištěný materiál musí ukládat do nehořlavé nádoby s víkem a následně likvidovat jako nebezpečný odpad; stejně tak musí mít k dispozici 1 PHP práškový s hasicí schopností nejméně 21A; při výdeji a doplňování PHM musí být v okolí vyloučeny iniciační zdroje (otevřený oheň, jiskry, sálavé teplo apod.), po tuto dobu platí zákaz kouření a používání otevřeného ohně. Na místě provozované činnosti je přípustné, kromě plné nádrže elektrocentrály mít max. 1 uzavřený 20 l kanystr s PHM.</w:t>
      </w:r>
    </w:p>
    <w:p w14:paraId="50ECE1A4" w14:textId="32B26E93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V prostoru konání akce je stanoven zákaz manipulace s otevřeným ohněm, pokud toto není úkonem nutným k bezpečnému uvedení zařízení do provozu (např. zapálení hořáku tepelného spotřebiče apod.) a zákaz manipulace s pyrotechnickými výrobky, pokud toto není součástí požárně zabezpečeného vystoupení, či slavnostního ohňostroje.</w:t>
      </w:r>
    </w:p>
    <w:p w14:paraId="0248D5E6" w14:textId="6222472A" w:rsidR="005F6773" w:rsidRPr="00C01191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191">
        <w:rPr>
          <w:b/>
          <w:bCs/>
          <w:sz w:val="24"/>
          <w:szCs w:val="24"/>
        </w:rPr>
        <w:lastRenderedPageBreak/>
        <w:t>Plnění balónků je povoleno pouze nehořlavými plyny</w:t>
      </w:r>
      <w:r w:rsidR="0022294C">
        <w:rPr>
          <w:b/>
          <w:bCs/>
          <w:sz w:val="24"/>
          <w:szCs w:val="24"/>
        </w:rPr>
        <w:t>!</w:t>
      </w:r>
    </w:p>
    <w:p w14:paraId="06D09D1A" w14:textId="77777777" w:rsidR="005F6773" w:rsidRP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Na stavebních konstrukcích v prostoru konání akce nesmí být zavěšovány žádné hořlavé materiály a hmoty, které při požáru odkapávají nebo odpadávají. </w:t>
      </w:r>
    </w:p>
    <w:p w14:paraId="3F6AA6E9" w14:textId="77777777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Požární úsek může tvořit skupina stánků s mezní plochou až 1500 m2 nebo jeden stánek. Jednotlivé požární úseky stánků musí mít mezi sebou odstupy šířky nejméně 6,5 m stejně jako od ostatních objektů směrem ke stánkům; v tomto prostoru se nesmí vyskytovat hořlavé látky či jiné předměty, prostor nesmí být zastřešen a musí být průjezdný. </w:t>
      </w:r>
    </w:p>
    <w:p w14:paraId="0686B276" w14:textId="51F9F031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Každý je povinen ohlásit neodkladně zjištěný požár nebo zabezpečit jeho ohlášení. Požár ohlaste telefonicky na číslo tísňového volání 150. V hlášení o požáru uveďte: kdo volá, co se stalo – kde hoří, co hoří, počet zraněných osob a dále postupujte dle případných pokynů příjemce hlášení. Požár nebo bezprostřední nebezpečí jeho vzniku bezodkladně oznamte pořadatelům nebo preventivní požární hlídce (PPH).</w:t>
      </w:r>
    </w:p>
    <w:p w14:paraId="4961ED81" w14:textId="77777777" w:rsidR="005F6773" w:rsidRPr="002377DB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Čísla tísňového volání: </w:t>
      </w:r>
    </w:p>
    <w:p w14:paraId="781CF675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HASIČI (KOPIS): 150 </w:t>
      </w:r>
    </w:p>
    <w:p w14:paraId="35E1D57D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POLICIE ČR: 158 </w:t>
      </w:r>
    </w:p>
    <w:p w14:paraId="15FA4C8F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ZÁCHRANNÁ ZDRAVOTNICKÁ SLUŽBA: 155 </w:t>
      </w:r>
    </w:p>
    <w:p w14:paraId="4877DFD8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JEDNOTNÉ EVROPSKÉ ČÍSLO TÍSŇOVÉHO VOLÁNÍ: 112 </w:t>
      </w:r>
    </w:p>
    <w:p w14:paraId="07F86568" w14:textId="43A0315E" w:rsidR="002377DB" w:rsidRDefault="005F6773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>MĚSTSKÁ POLICIE</w:t>
      </w:r>
      <w:r w:rsidR="002377DB">
        <w:rPr>
          <w:b/>
          <w:bCs/>
          <w:sz w:val="24"/>
          <w:szCs w:val="24"/>
        </w:rPr>
        <w:t xml:space="preserve"> MNÍŠEK POD BRDY</w:t>
      </w:r>
      <w:r w:rsidRPr="002377DB">
        <w:rPr>
          <w:b/>
          <w:bCs/>
          <w:sz w:val="24"/>
          <w:szCs w:val="24"/>
        </w:rPr>
        <w:t xml:space="preserve">: </w:t>
      </w:r>
      <w:r w:rsidR="002377DB">
        <w:rPr>
          <w:b/>
          <w:bCs/>
          <w:sz w:val="24"/>
          <w:szCs w:val="24"/>
        </w:rPr>
        <w:t>737 274 227</w:t>
      </w:r>
      <w:r w:rsidRPr="002377DB">
        <w:rPr>
          <w:b/>
          <w:bCs/>
          <w:sz w:val="24"/>
          <w:szCs w:val="24"/>
        </w:rPr>
        <w:t xml:space="preserve"> </w:t>
      </w:r>
    </w:p>
    <w:p w14:paraId="7392CAFF" w14:textId="61828F65" w:rsid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68C41225" w14:textId="2D1C6DF4" w:rsidR="002377DB" w:rsidRP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>Kontaktní pořadatelská telefonní čísla:</w:t>
      </w:r>
      <w:r w:rsidR="00C01191" w:rsidRPr="00C01191">
        <w:rPr>
          <w:sz w:val="24"/>
          <w:szCs w:val="24"/>
        </w:rPr>
        <w:t xml:space="preserve"> </w:t>
      </w:r>
      <w:r w:rsidR="002005DF">
        <w:rPr>
          <w:sz w:val="24"/>
          <w:szCs w:val="24"/>
        </w:rPr>
        <w:t>732 931 219</w:t>
      </w:r>
    </w:p>
    <w:p w14:paraId="25CE9308" w14:textId="77777777" w:rsid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180AB4A0" w14:textId="494EAF71" w:rsidR="00DB4A5A" w:rsidRDefault="002377DB" w:rsidP="00723092">
      <w:pPr>
        <w:spacing w:after="0" w:line="276" w:lineRule="auto"/>
        <w:ind w:left="360"/>
        <w:jc w:val="both"/>
      </w:pPr>
      <w:r>
        <w:t xml:space="preserve">S tímto pokynem musí být seznámeni všichni provozovatelé činností a všechny osoby, které budou tyto činnosti vykonávat. </w:t>
      </w:r>
    </w:p>
    <w:p w14:paraId="71C83E71" w14:textId="2A107794" w:rsidR="00DB4A5A" w:rsidRDefault="00DB4A5A" w:rsidP="002377DB">
      <w:pPr>
        <w:spacing w:after="0" w:line="276" w:lineRule="auto"/>
        <w:ind w:left="360"/>
        <w:jc w:val="both"/>
      </w:pPr>
    </w:p>
    <w:p w14:paraId="55C81631" w14:textId="77777777" w:rsidR="00DB4A5A" w:rsidRDefault="00DB4A5A" w:rsidP="00DB4A5A">
      <w:pPr>
        <w:pStyle w:val="Odstavecseseznamem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 město Mníšek pod Brdy zpracoval:</w:t>
      </w:r>
    </w:p>
    <w:p w14:paraId="78084BA9" w14:textId="77777777" w:rsidR="00DB4A5A" w:rsidRDefault="00DB4A5A" w:rsidP="00DB4A5A">
      <w:pPr>
        <w:pStyle w:val="Odstavecsesezname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Bezpečnostní konzultant  </w:t>
      </w:r>
    </w:p>
    <w:p w14:paraId="7777D7EF" w14:textId="3913889B" w:rsidR="00DB4A5A" w:rsidRPr="00DB4A5A" w:rsidRDefault="00DB4A5A" w:rsidP="00DB4A5A">
      <w:pPr>
        <w:pStyle w:val="Odstavecsesezname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Bc. Richard Řezáč</w:t>
      </w:r>
    </w:p>
    <w:p w14:paraId="69860704" w14:textId="77777777" w:rsidR="00DB4A5A" w:rsidRDefault="00DB4A5A" w:rsidP="002377DB">
      <w:pPr>
        <w:spacing w:after="0" w:line="276" w:lineRule="auto"/>
        <w:ind w:left="360"/>
        <w:jc w:val="both"/>
      </w:pPr>
    </w:p>
    <w:p w14:paraId="26CC775F" w14:textId="706D784C" w:rsidR="00723092" w:rsidRPr="002377DB" w:rsidRDefault="00812CE9" w:rsidP="00723092">
      <w:pPr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812CE9">
        <w:rPr>
          <w:i/>
          <w:iCs/>
        </w:rPr>
        <w:t>Organizace zabezpečení požární ochrany – pokyn pro provozovatele činností v prodejních stáncích či jiných prodejních prostorech nebo zařízeních včetně pouťových atrakcí</w:t>
      </w:r>
      <w:r w:rsidR="00723092" w:rsidRPr="002377DB">
        <w:rPr>
          <w:i/>
          <w:iCs/>
        </w:rPr>
        <w:t xml:space="preserve"> je přílohou </w:t>
      </w:r>
      <w:r w:rsidR="00142676" w:rsidRPr="00142676">
        <w:rPr>
          <w:i/>
          <w:iCs/>
        </w:rPr>
        <w:t>Pokyn</w:t>
      </w:r>
      <w:r w:rsidR="00142676">
        <w:rPr>
          <w:i/>
          <w:iCs/>
        </w:rPr>
        <w:t>u</w:t>
      </w:r>
      <w:r w:rsidR="00142676" w:rsidRPr="00142676">
        <w:rPr>
          <w:i/>
          <w:iCs/>
        </w:rPr>
        <w:t xml:space="preserve"> města Mníšek pod Brdy pro přidělování a provozování prodejních míst při konání „Skalecké pouti“ v roce 2022.</w:t>
      </w:r>
      <w:r w:rsidR="00723092" w:rsidRPr="002377DB">
        <w:rPr>
          <w:i/>
          <w:iCs/>
        </w:rPr>
        <w:t xml:space="preserve">, schváleného </w:t>
      </w:r>
      <w:r w:rsidR="00723092">
        <w:rPr>
          <w:i/>
          <w:iCs/>
        </w:rPr>
        <w:t>radou</w:t>
      </w:r>
      <w:r w:rsidR="00723092" w:rsidRPr="002377DB">
        <w:rPr>
          <w:i/>
          <w:iCs/>
        </w:rPr>
        <w:t xml:space="preserve"> města.</w:t>
      </w:r>
      <w:r w:rsidR="00723092" w:rsidRPr="002377DB">
        <w:rPr>
          <w:b/>
          <w:bCs/>
          <w:i/>
          <w:iCs/>
          <w:sz w:val="24"/>
          <w:szCs w:val="24"/>
        </w:rPr>
        <w:t xml:space="preserve"> </w:t>
      </w:r>
    </w:p>
    <w:p w14:paraId="7C8061F0" w14:textId="77FC5818" w:rsidR="005F6773" w:rsidRPr="002377DB" w:rsidRDefault="005F6773" w:rsidP="00723092">
      <w:pPr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</w:p>
    <w:sectPr w:rsidR="005F6773" w:rsidRPr="00237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79B" w14:textId="77777777" w:rsidR="00AC6923" w:rsidRDefault="00AC6923" w:rsidP="000D1771">
      <w:pPr>
        <w:spacing w:after="0" w:line="240" w:lineRule="auto"/>
      </w:pPr>
      <w:r>
        <w:separator/>
      </w:r>
    </w:p>
  </w:endnote>
  <w:endnote w:type="continuationSeparator" w:id="0">
    <w:p w14:paraId="03E9EBA8" w14:textId="77777777" w:rsidR="00AC6923" w:rsidRDefault="00AC6923" w:rsidP="000D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246356"/>
      <w:docPartObj>
        <w:docPartGallery w:val="Page Numbers (Bottom of Page)"/>
        <w:docPartUnique/>
      </w:docPartObj>
    </w:sdtPr>
    <w:sdtEndPr/>
    <w:sdtContent>
      <w:p w14:paraId="57AD92F0" w14:textId="758D93DF" w:rsidR="000D1771" w:rsidRDefault="00073175" w:rsidP="00073175">
        <w:pPr>
          <w:pStyle w:val="Zpat"/>
          <w:jc w:val="center"/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005DF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 xml:space="preserve"> z 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2005DF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133AD47" w14:textId="77777777" w:rsidR="000D1771" w:rsidRDefault="000D1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83A" w14:textId="77777777" w:rsidR="00AC6923" w:rsidRDefault="00AC6923" w:rsidP="000D1771">
      <w:pPr>
        <w:spacing w:after="0" w:line="240" w:lineRule="auto"/>
      </w:pPr>
      <w:r>
        <w:separator/>
      </w:r>
    </w:p>
  </w:footnote>
  <w:footnote w:type="continuationSeparator" w:id="0">
    <w:p w14:paraId="636ABD0A" w14:textId="77777777" w:rsidR="00AC6923" w:rsidRDefault="00AC6923" w:rsidP="000D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80F"/>
    <w:multiLevelType w:val="hybridMultilevel"/>
    <w:tmpl w:val="85ACA7AC"/>
    <w:lvl w:ilvl="0" w:tplc="FC2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73"/>
    <w:rsid w:val="00032798"/>
    <w:rsid w:val="00073175"/>
    <w:rsid w:val="000D1771"/>
    <w:rsid w:val="000E4FDF"/>
    <w:rsid w:val="00142676"/>
    <w:rsid w:val="002005DF"/>
    <w:rsid w:val="0022294C"/>
    <w:rsid w:val="002377DB"/>
    <w:rsid w:val="00252974"/>
    <w:rsid w:val="00575DC7"/>
    <w:rsid w:val="0059569C"/>
    <w:rsid w:val="005F6773"/>
    <w:rsid w:val="006F4068"/>
    <w:rsid w:val="00723092"/>
    <w:rsid w:val="007424BD"/>
    <w:rsid w:val="00775264"/>
    <w:rsid w:val="00812CE9"/>
    <w:rsid w:val="009513C0"/>
    <w:rsid w:val="00A50145"/>
    <w:rsid w:val="00A8758B"/>
    <w:rsid w:val="00AC6923"/>
    <w:rsid w:val="00B60698"/>
    <w:rsid w:val="00C01191"/>
    <w:rsid w:val="00CD0732"/>
    <w:rsid w:val="00CF532B"/>
    <w:rsid w:val="00D374B5"/>
    <w:rsid w:val="00D97B7A"/>
    <w:rsid w:val="00DB4A5A"/>
    <w:rsid w:val="00DB59AC"/>
    <w:rsid w:val="00DB7108"/>
    <w:rsid w:val="00DE2EE3"/>
    <w:rsid w:val="00E3423F"/>
    <w:rsid w:val="00E4768B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C39CF"/>
  <w15:chartTrackingRefBased/>
  <w15:docId w15:val="{BC59F7A1-F328-4863-A95E-526585F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2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237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7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37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77D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771"/>
  </w:style>
  <w:style w:type="paragraph" w:styleId="Zpat">
    <w:name w:val="footer"/>
    <w:basedOn w:val="Normln"/>
    <w:link w:val="ZpatChar"/>
    <w:unhideWhenUsed/>
    <w:rsid w:val="000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771"/>
  </w:style>
  <w:style w:type="character" w:styleId="slostrnky">
    <w:name w:val="page number"/>
    <w:basedOn w:val="Standardnpsmoodstavce"/>
    <w:rsid w:val="00073175"/>
  </w:style>
  <w:style w:type="character" w:styleId="Hypertextovodkaz">
    <w:name w:val="Hyperlink"/>
    <w:basedOn w:val="Standardnpsmoodstavce"/>
    <w:uiPriority w:val="99"/>
    <w:unhideWhenUsed/>
    <w:rsid w:val="00C0119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406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2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duskova@mn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Řezáč</dc:creator>
  <cp:keywords/>
  <dc:description/>
  <cp:lastModifiedBy>Libor Kálmán</cp:lastModifiedBy>
  <cp:revision>2</cp:revision>
  <cp:lastPrinted>2021-07-13T06:20:00Z</cp:lastPrinted>
  <dcterms:created xsi:type="dcterms:W3CDTF">2022-04-12T08:08:00Z</dcterms:created>
  <dcterms:modified xsi:type="dcterms:W3CDTF">2022-04-12T08:08:00Z</dcterms:modified>
</cp:coreProperties>
</file>